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5DCA2A64"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08AE3074" w:rsidR="00E66558" w:rsidRDefault="009D71E8">
      <w:pPr>
        <w:pStyle w:val="Heading2"/>
        <w:rPr>
          <w:b w:val="0"/>
          <w:bCs/>
          <w:color w:val="auto"/>
          <w:sz w:val="24"/>
          <w:szCs w:val="24"/>
        </w:rPr>
      </w:pPr>
      <w:r>
        <w:rPr>
          <w:b w:val="0"/>
          <w:bCs/>
          <w:color w:val="auto"/>
          <w:sz w:val="24"/>
          <w:szCs w:val="24"/>
        </w:rPr>
        <w:t xml:space="preserve">This statement details our school’s use of pupil premium </w:t>
      </w:r>
      <w:r w:rsidR="009E6F48">
        <w:rPr>
          <w:b w:val="0"/>
          <w:bCs/>
          <w:color w:val="auto"/>
          <w:sz w:val="24"/>
          <w:szCs w:val="24"/>
        </w:rPr>
        <w:t xml:space="preserve">funding </w:t>
      </w:r>
      <w:r>
        <w:rPr>
          <w:b w:val="0"/>
          <w:bCs/>
          <w:color w:val="auto"/>
          <w:sz w:val="24"/>
          <w:szCs w:val="24"/>
        </w:rPr>
        <w:t xml:space="preserve">(and recovery premium for the </w:t>
      </w:r>
      <w:r w:rsidR="009E6F48">
        <w:rPr>
          <w:b w:val="0"/>
          <w:bCs/>
          <w:color w:val="auto"/>
          <w:sz w:val="24"/>
          <w:szCs w:val="24"/>
        </w:rPr>
        <w:t xml:space="preserve">academic year </w:t>
      </w:r>
      <w:r>
        <w:rPr>
          <w:b w:val="0"/>
          <w:bCs/>
          <w:color w:val="auto"/>
          <w:sz w:val="24"/>
          <w:szCs w:val="24"/>
        </w:rPr>
        <w:t>202</w:t>
      </w:r>
      <w:r w:rsidR="009E6F48">
        <w:rPr>
          <w:b w:val="0"/>
          <w:bCs/>
          <w:color w:val="auto"/>
          <w:sz w:val="24"/>
          <w:szCs w:val="24"/>
        </w:rPr>
        <w:t>2</w:t>
      </w:r>
      <w:r>
        <w:rPr>
          <w:b w:val="0"/>
          <w:bCs/>
          <w:color w:val="auto"/>
          <w:sz w:val="24"/>
          <w:szCs w:val="24"/>
        </w:rPr>
        <w:t xml:space="preserve"> to 202</w:t>
      </w:r>
      <w:r w:rsidR="009E6F48">
        <w:rPr>
          <w:b w:val="0"/>
          <w:bCs/>
          <w:color w:val="auto"/>
          <w:sz w:val="24"/>
          <w:szCs w:val="24"/>
        </w:rPr>
        <w:t>3</w:t>
      </w:r>
      <w:r>
        <w:rPr>
          <w:b w:val="0"/>
          <w:bCs/>
          <w:color w:val="auto"/>
          <w:sz w:val="24"/>
          <w:szCs w:val="24"/>
        </w:rPr>
        <w:t xml:space="preserve">)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92319DB" w:rsidR="00E66558" w:rsidRDefault="00913DF9">
            <w:pPr>
              <w:pStyle w:val="TableRow"/>
            </w:pPr>
            <w:r>
              <w:t>Fulford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022F89FE" w:rsidR="00E66558" w:rsidRDefault="00D80330" w:rsidP="00913DF9">
            <w:pPr>
              <w:pStyle w:val="TableRow"/>
              <w:ind w:left="0"/>
            </w:pPr>
            <w:r w:rsidRPr="00F94622">
              <w:t>16</w:t>
            </w:r>
            <w:r w:rsidR="00F94622">
              <w:t>52</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622999F8" w:rsidR="00E66558" w:rsidRDefault="00F94622" w:rsidP="00D80330">
            <w:pPr>
              <w:pStyle w:val="TableRow"/>
              <w:ind w:left="0"/>
            </w:pPr>
            <w:r w:rsidRPr="00F94622">
              <w:t>7</w:t>
            </w:r>
            <w:r w:rsidR="00D80330" w:rsidRPr="00F94622">
              <w:t>.</w:t>
            </w:r>
            <w:r w:rsidRPr="00F94622">
              <w:t>08</w:t>
            </w:r>
            <w:r w:rsidR="00D80330" w:rsidRPr="00F94622">
              <w:t>% (</w:t>
            </w:r>
            <w:r w:rsidRPr="00F94622">
              <w:t>117</w:t>
            </w:r>
            <w:r w:rsidR="00913DF9" w:rsidRPr="00F94622">
              <w:t xml:space="preserve"> / </w:t>
            </w:r>
            <w:r w:rsidR="00EC7A1B" w:rsidRPr="00F94622">
              <w:t>1</w:t>
            </w:r>
            <w:r w:rsidR="00D80330" w:rsidRPr="00F94622">
              <w:t>6</w:t>
            </w:r>
            <w:r w:rsidRPr="00F94622">
              <w:t>52</w:t>
            </w:r>
            <w:r w:rsidR="00913DF9" w:rsidRPr="00F94622">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1E2C05C0" w:rsidR="00E66558" w:rsidRDefault="009D71E8" w:rsidP="00C1224B">
            <w:pPr>
              <w:pStyle w:val="TableRow"/>
            </w:pPr>
            <w:r>
              <w:rPr>
                <w:szCs w:val="22"/>
              </w:rP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4755B" w14:textId="77777777" w:rsidR="005C16E3" w:rsidRPr="00A50F03" w:rsidRDefault="005C16E3" w:rsidP="005C16E3">
            <w:pPr>
              <w:pStyle w:val="TableRow"/>
              <w:rPr>
                <w:color w:val="auto"/>
              </w:rPr>
            </w:pPr>
            <w:r w:rsidRPr="00A50F03">
              <w:rPr>
                <w:color w:val="auto"/>
              </w:rPr>
              <w:t xml:space="preserve">2021/2022 </w:t>
            </w:r>
          </w:p>
          <w:p w14:paraId="2A7D54C2" w14:textId="18095069" w:rsidR="00E66558" w:rsidRDefault="005C16E3" w:rsidP="005C16E3">
            <w:pPr>
              <w:pStyle w:val="TableRow"/>
            </w:pPr>
            <w:r w:rsidRPr="00A50F03">
              <w:rPr>
                <w:color w:val="auto"/>
              </w:rPr>
              <w:t>to 202</w:t>
            </w:r>
            <w:r w:rsidR="00DF7A20">
              <w:rPr>
                <w:color w:val="auto"/>
              </w:rPr>
              <w:t>3</w:t>
            </w:r>
            <w:r w:rsidRPr="00A50F03">
              <w:rPr>
                <w:color w:val="auto"/>
              </w:rPr>
              <w:t>/202</w:t>
            </w:r>
            <w:r w:rsidR="00DF7A20">
              <w:rPr>
                <w:color w:val="auto"/>
              </w:rPr>
              <w:t>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42ED9CF" w:rsidR="00E66558" w:rsidRDefault="003E1495">
            <w:pPr>
              <w:pStyle w:val="TableRow"/>
            </w:pPr>
            <w:r>
              <w:t>December</w:t>
            </w:r>
            <w:r w:rsidR="004203AC">
              <w:t xml:space="preserve"> 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5059557" w:rsidR="00E66558" w:rsidRDefault="00F06036">
            <w:pPr>
              <w:pStyle w:val="TableRow"/>
            </w:pPr>
            <w:r>
              <w:t>September 2023</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2388C9AA" w:rsidR="00E66558" w:rsidRDefault="004203AC">
            <w:pPr>
              <w:pStyle w:val="TableRow"/>
            </w:pPr>
            <w:r>
              <w:t>Stephen Lewis</w:t>
            </w:r>
            <w:r w:rsidR="00DA7718">
              <w:t xml:space="preserve">, </w:t>
            </w:r>
            <w:r w:rsidR="009E6F48">
              <w:t>C.E.O.</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14F82E82" w:rsidR="00E66558" w:rsidRDefault="004203AC">
            <w:pPr>
              <w:pStyle w:val="TableRow"/>
            </w:pPr>
            <w:r>
              <w:t>Rachel Baroni</w:t>
            </w:r>
            <w:r w:rsidR="00DA7718">
              <w:t>, Assistant Headteacher</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103B27C6" w:rsidR="00E66558" w:rsidRDefault="009D729D">
            <w:pPr>
              <w:pStyle w:val="TableRow"/>
            </w:pPr>
            <w:r>
              <w:t xml:space="preserve">Claire </w:t>
            </w:r>
            <w:proofErr w:type="spellStart"/>
            <w:r>
              <w:t>Sculphor</w:t>
            </w:r>
            <w:proofErr w:type="spellEnd"/>
            <w:r w:rsidR="00DA7718">
              <w:t>, Chair of Governors</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428CB694" w:rsidR="004203AC" w:rsidRDefault="00397403" w:rsidP="00421089">
            <w:pPr>
              <w:pStyle w:val="TableRow"/>
              <w:ind w:left="0"/>
            </w:pPr>
            <w:r>
              <w:t xml:space="preserve">Total </w:t>
            </w:r>
            <w:r w:rsidR="00F06036" w:rsidRPr="00F06036">
              <w:t>£117,765</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3E165FC7" w:rsidR="00E66558" w:rsidRDefault="00F06036">
            <w:pPr>
              <w:pStyle w:val="TableRow"/>
            </w:pPr>
            <w:r w:rsidRPr="00F06036">
              <w:t>£21,804</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419249E7" w:rsidR="00E66558" w:rsidRDefault="009D71E8">
            <w:pPr>
              <w:pStyle w:val="TableRow"/>
            </w:pPr>
            <w:r>
              <w:t>£</w:t>
            </w:r>
            <w:r w:rsidR="004203AC">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7C8A216C" w:rsidR="00E66558" w:rsidRDefault="00F06036">
            <w:pPr>
              <w:pStyle w:val="TableRow"/>
            </w:pPr>
            <w:bookmarkStart w:id="14" w:name="_Hlk121756028"/>
            <w:r w:rsidRPr="00F06036">
              <w:t>£139,569</w:t>
            </w:r>
            <w:bookmarkEnd w:id="14"/>
          </w:p>
        </w:tc>
      </w:tr>
    </w:tbl>
    <w:p w14:paraId="2A7D54E4" w14:textId="77777777" w:rsidR="00E66558" w:rsidRDefault="009D71E8">
      <w:pPr>
        <w:pStyle w:val="Heading1"/>
      </w:pPr>
      <w:r>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0044051E">
        <w:trPr>
          <w:trHeight w:val="6572"/>
        </w:trPr>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03F6" w14:textId="77777777" w:rsidR="00881B8B" w:rsidRDefault="00881B8B" w:rsidP="00881B8B">
            <w:pPr>
              <w:spacing w:after="0"/>
              <w:textAlignment w:val="baseline"/>
              <w:rPr>
                <w:rFonts w:cs="Arial"/>
                <w:sz w:val="20"/>
                <w:szCs w:val="22"/>
              </w:rPr>
            </w:pPr>
          </w:p>
          <w:p w14:paraId="4911BB89" w14:textId="0C7D50A0" w:rsidR="00D56975" w:rsidRDefault="00881B8B" w:rsidP="0044051E">
            <w:pPr>
              <w:spacing w:after="0"/>
              <w:textAlignment w:val="baseline"/>
              <w:rPr>
                <w:rFonts w:cs="Arial"/>
                <w:sz w:val="22"/>
                <w:szCs w:val="22"/>
              </w:rPr>
            </w:pPr>
            <w:r w:rsidRPr="00881B8B">
              <w:rPr>
                <w:sz w:val="22"/>
                <w:szCs w:val="22"/>
              </w:rPr>
              <w:t xml:space="preserve">The aim of this strategy is to better identify need, develop evidence-based practice and ultimately raise outcomes for disadvantaged students in Fulford School. </w:t>
            </w:r>
            <w:r w:rsidRPr="00881B8B">
              <w:rPr>
                <w:rFonts w:cs="Arial"/>
                <w:sz w:val="22"/>
                <w:szCs w:val="22"/>
              </w:rPr>
              <w:t xml:space="preserve">We aim to support each student to realise their potential to create their own future. In line with the school’s HEART values of honesty, empathy, ambition, resilience and tolerance, our ultimate objective is that all students will develop as individuals who are equipped to succeed as adults in the modern world. </w:t>
            </w:r>
          </w:p>
          <w:p w14:paraId="3E8ABF1A" w14:textId="5FB0E606" w:rsidR="0044051E" w:rsidRDefault="0044051E" w:rsidP="0044051E">
            <w:pPr>
              <w:spacing w:after="0"/>
              <w:textAlignment w:val="baseline"/>
              <w:rPr>
                <w:rFonts w:cs="Arial"/>
                <w:sz w:val="22"/>
                <w:szCs w:val="22"/>
              </w:rPr>
            </w:pPr>
          </w:p>
          <w:p w14:paraId="05A3B6BC" w14:textId="77777777" w:rsidR="0044051E" w:rsidRPr="00881B8B" w:rsidRDefault="0044051E" w:rsidP="0044051E">
            <w:pPr>
              <w:spacing w:after="0"/>
              <w:textAlignment w:val="baseline"/>
              <w:rPr>
                <w:rFonts w:cs="Arial"/>
                <w:sz w:val="22"/>
                <w:szCs w:val="22"/>
              </w:rPr>
            </w:pPr>
            <w:r>
              <w:rPr>
                <w:rFonts w:cs="Arial"/>
                <w:sz w:val="22"/>
                <w:szCs w:val="22"/>
              </w:rPr>
              <w:t>With a relatively small number of disadvantaged students in our school community, we are aware of the particular vulnerabilities this may place upon them, including potential marginalisation and lack of ‘voice’.</w:t>
            </w:r>
          </w:p>
          <w:p w14:paraId="207555BD" w14:textId="77777777" w:rsidR="0044051E" w:rsidRDefault="0044051E" w:rsidP="0044051E">
            <w:pPr>
              <w:spacing w:after="0"/>
              <w:textAlignment w:val="baseline"/>
              <w:rPr>
                <w:rFonts w:cs="Arial"/>
                <w:sz w:val="22"/>
                <w:szCs w:val="22"/>
              </w:rPr>
            </w:pPr>
          </w:p>
          <w:p w14:paraId="1C48F783" w14:textId="21E520FB" w:rsidR="00881B8B" w:rsidRPr="00881B8B" w:rsidRDefault="00881B8B" w:rsidP="00881B8B">
            <w:pPr>
              <w:rPr>
                <w:sz w:val="22"/>
                <w:szCs w:val="22"/>
              </w:rPr>
            </w:pPr>
            <w:r w:rsidRPr="00881B8B">
              <w:rPr>
                <w:sz w:val="22"/>
                <w:szCs w:val="22"/>
              </w:rPr>
              <w:t>We acknowledge that inequality impacts on students’ learning over time and that addressing disadvantage is the responsibility of all members of staff.</w:t>
            </w:r>
            <w:r w:rsidR="00845F3E">
              <w:rPr>
                <w:sz w:val="22"/>
                <w:szCs w:val="22"/>
              </w:rPr>
              <w:t xml:space="preserve"> As a community, we recognise </w:t>
            </w:r>
            <w:r w:rsidR="006A0816">
              <w:rPr>
                <w:sz w:val="22"/>
                <w:szCs w:val="22"/>
              </w:rPr>
              <w:t xml:space="preserve">the importance of building self-esteem and supporting students’ social, emotional and mental health, understanding </w:t>
            </w:r>
            <w:r w:rsidR="00845F3E">
              <w:rPr>
                <w:sz w:val="22"/>
                <w:szCs w:val="22"/>
              </w:rPr>
              <w:t>that socio-economic disadvantage may mean that students have negative perceptions of themselves as learners</w:t>
            </w:r>
            <w:r w:rsidR="006A0816">
              <w:rPr>
                <w:sz w:val="22"/>
                <w:szCs w:val="22"/>
              </w:rPr>
              <w:t xml:space="preserve">. </w:t>
            </w:r>
          </w:p>
          <w:p w14:paraId="364C0BCC" w14:textId="77777777" w:rsidR="00881B8B" w:rsidRPr="00881B8B" w:rsidRDefault="00881B8B" w:rsidP="00881B8B">
            <w:pPr>
              <w:rPr>
                <w:sz w:val="22"/>
                <w:szCs w:val="22"/>
              </w:rPr>
            </w:pPr>
            <w:r w:rsidRPr="00881B8B">
              <w:rPr>
                <w:sz w:val="22"/>
                <w:szCs w:val="22"/>
              </w:rPr>
              <w:t xml:space="preserve">Teaching and learning </w:t>
            </w:r>
            <w:proofErr w:type="gramStart"/>
            <w:r w:rsidRPr="00881B8B">
              <w:rPr>
                <w:sz w:val="22"/>
                <w:szCs w:val="22"/>
              </w:rPr>
              <w:t>is</w:t>
            </w:r>
            <w:proofErr w:type="gramEnd"/>
            <w:r w:rsidRPr="00881B8B">
              <w:rPr>
                <w:sz w:val="22"/>
                <w:szCs w:val="22"/>
              </w:rPr>
              <w:t xml:space="preserve"> at the heart of this strategy because effective teaching is the best lever for improving student and school outcomes.</w:t>
            </w:r>
          </w:p>
          <w:p w14:paraId="2A7D54E9" w14:textId="3B1A3780" w:rsidR="00881B8B" w:rsidRPr="0044051E" w:rsidRDefault="00881B8B" w:rsidP="0044051E">
            <w:pPr>
              <w:rPr>
                <w:sz w:val="22"/>
                <w:szCs w:val="22"/>
              </w:rPr>
            </w:pPr>
            <w:r w:rsidRPr="00881B8B">
              <w:rPr>
                <w:sz w:val="22"/>
                <w:szCs w:val="22"/>
              </w:rPr>
              <w:t>We take an evidence-informed approach to strategically addressing educational disadvantage. Our strategy is long-term and tiered, in line with Education Endowment Foundation guidance, viewing teaching and learning, academic intervention and wider approaches as interrelated.</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8CAB1" w14:textId="0EBB11F9" w:rsidR="00EC362B" w:rsidRDefault="0052016D" w:rsidP="00AD012C">
            <w:pPr>
              <w:pStyle w:val="TableRowCentered"/>
              <w:ind w:left="0"/>
              <w:jc w:val="left"/>
              <w:rPr>
                <w:i/>
                <w:iCs/>
                <w:sz w:val="22"/>
                <w:szCs w:val="22"/>
              </w:rPr>
            </w:pPr>
            <w:r>
              <w:rPr>
                <w:iCs/>
                <w:sz w:val="22"/>
                <w:szCs w:val="22"/>
              </w:rPr>
              <w:t>Our attainment data over 2020 - 21 indicated a w</w:t>
            </w:r>
            <w:r w:rsidR="00C164AF">
              <w:rPr>
                <w:iCs/>
                <w:sz w:val="22"/>
                <w:szCs w:val="22"/>
              </w:rPr>
              <w:t>idening p</w:t>
            </w:r>
            <w:r w:rsidR="00CB2CA2" w:rsidRPr="00EC362B">
              <w:rPr>
                <w:iCs/>
                <w:sz w:val="22"/>
                <w:szCs w:val="22"/>
              </w:rPr>
              <w:t xml:space="preserve">erformance gap </w:t>
            </w:r>
            <w:r w:rsidR="00EC362B" w:rsidRPr="00EC362B">
              <w:rPr>
                <w:iCs/>
                <w:sz w:val="22"/>
                <w:szCs w:val="22"/>
              </w:rPr>
              <w:t xml:space="preserve">at </w:t>
            </w:r>
            <w:r w:rsidR="00DC5749">
              <w:rPr>
                <w:iCs/>
                <w:sz w:val="22"/>
                <w:szCs w:val="22"/>
              </w:rPr>
              <w:t xml:space="preserve">Key Stage 3 and </w:t>
            </w:r>
            <w:r w:rsidR="00EC362B" w:rsidRPr="00EC362B">
              <w:rPr>
                <w:iCs/>
                <w:sz w:val="22"/>
                <w:szCs w:val="22"/>
              </w:rPr>
              <w:t>Key Stage 4</w:t>
            </w:r>
            <w:r w:rsidR="000B16E1">
              <w:rPr>
                <w:iCs/>
                <w:sz w:val="22"/>
                <w:szCs w:val="22"/>
              </w:rPr>
              <w:t xml:space="preserve">, suggesting that the education of many of our disadvantaged students have been impacted by periods of online learning due to Covid 19 than </w:t>
            </w:r>
            <w:r w:rsidR="00DA783B">
              <w:rPr>
                <w:iCs/>
                <w:sz w:val="22"/>
                <w:szCs w:val="22"/>
              </w:rPr>
              <w:t>other students. This reflects a wider national picture.</w:t>
            </w:r>
            <w:r w:rsidR="000B16E1">
              <w:rPr>
                <w:iCs/>
                <w:sz w:val="22"/>
                <w:szCs w:val="22"/>
              </w:rPr>
              <w:t xml:space="preserve"> </w:t>
            </w:r>
          </w:p>
          <w:p w14:paraId="2C2979E1" w14:textId="77777777" w:rsidR="00E66558" w:rsidRPr="00C164AF" w:rsidRDefault="00EC362B" w:rsidP="00AD012C">
            <w:pPr>
              <w:pStyle w:val="TableRowCentered"/>
              <w:ind w:left="0"/>
              <w:jc w:val="left"/>
              <w:rPr>
                <w:i/>
                <w:iCs/>
                <w:sz w:val="22"/>
                <w:szCs w:val="22"/>
              </w:rPr>
            </w:pPr>
            <w:r w:rsidRPr="00C164AF">
              <w:rPr>
                <w:i/>
                <w:iCs/>
                <w:sz w:val="22"/>
                <w:szCs w:val="22"/>
              </w:rPr>
              <w:t xml:space="preserve">2020 Progress 8 </w:t>
            </w:r>
            <w:proofErr w:type="gramStart"/>
            <w:r w:rsidRPr="00C164AF">
              <w:rPr>
                <w:i/>
                <w:iCs/>
                <w:sz w:val="22"/>
                <w:szCs w:val="22"/>
              </w:rPr>
              <w:t>Scores</w:t>
            </w:r>
            <w:proofErr w:type="gramEnd"/>
            <w:r w:rsidRPr="00C164AF">
              <w:rPr>
                <w:i/>
                <w:iCs/>
                <w:sz w:val="22"/>
                <w:szCs w:val="22"/>
              </w:rPr>
              <w:t>: Non-PP 0.884, PP 0.581 Gap -0.303</w:t>
            </w:r>
          </w:p>
          <w:p w14:paraId="2A7D54F1" w14:textId="2D222F4B" w:rsidR="00DC5749" w:rsidRPr="00DC5749" w:rsidRDefault="00C164AF" w:rsidP="00DC5749">
            <w:pPr>
              <w:pStyle w:val="TableRowCentered"/>
              <w:ind w:left="0"/>
              <w:jc w:val="left"/>
              <w:rPr>
                <w:i/>
                <w:sz w:val="22"/>
                <w:szCs w:val="22"/>
              </w:rPr>
            </w:pPr>
            <w:r>
              <w:rPr>
                <w:i/>
                <w:sz w:val="22"/>
                <w:szCs w:val="22"/>
              </w:rPr>
              <w:t>2021 P</w:t>
            </w:r>
            <w:r w:rsidRPr="00C164AF">
              <w:rPr>
                <w:i/>
                <w:sz w:val="22"/>
                <w:szCs w:val="22"/>
              </w:rPr>
              <w:t xml:space="preserve">redicted Progress 8 </w:t>
            </w:r>
            <w:proofErr w:type="gramStart"/>
            <w:r w:rsidRPr="00C164AF">
              <w:rPr>
                <w:i/>
                <w:sz w:val="22"/>
                <w:szCs w:val="22"/>
              </w:rPr>
              <w:t>Scores</w:t>
            </w:r>
            <w:proofErr w:type="gramEnd"/>
            <w:r w:rsidRPr="00C164AF">
              <w:rPr>
                <w:i/>
                <w:sz w:val="22"/>
                <w:szCs w:val="22"/>
              </w:rPr>
              <w:t>: Non-PP 0.25, PP -0.3, Gap -0.55</w:t>
            </w:r>
          </w:p>
        </w:tc>
      </w:tr>
      <w:tr w:rsidR="0052016D" w14:paraId="0C734536"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D8645" w14:textId="2A83D684" w:rsidR="0052016D" w:rsidRDefault="0052016D">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4C701" w14:textId="5587BC14" w:rsidR="0052016D" w:rsidRPr="0052016D" w:rsidRDefault="0052016D" w:rsidP="00AD012C">
            <w:pPr>
              <w:pStyle w:val="TableRowCentered"/>
              <w:ind w:left="0"/>
              <w:jc w:val="left"/>
              <w:rPr>
                <w:iCs/>
                <w:sz w:val="22"/>
                <w:szCs w:val="22"/>
              </w:rPr>
            </w:pPr>
            <w:r w:rsidRPr="0052016D">
              <w:rPr>
                <w:iCs/>
                <w:sz w:val="22"/>
                <w:szCs w:val="22"/>
              </w:rPr>
              <w:t>The CATs scores and KS2 data for disadvantaged students in Year 7 shows a literacy gap upon entry to Fulford School</w:t>
            </w:r>
            <w:r w:rsidR="000B16E1">
              <w:rPr>
                <w:iCs/>
                <w:sz w:val="22"/>
                <w:szCs w:val="22"/>
              </w:rPr>
              <w:t>, indicating a lower level of reading comprehension than non-disadvantaged student</w:t>
            </w:r>
            <w:r w:rsidR="00DA783B">
              <w:rPr>
                <w:iCs/>
                <w:sz w:val="22"/>
                <w:szCs w:val="22"/>
              </w:rPr>
              <w:t xml:space="preserve">s.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9A2A058" w:rsidR="00E66558" w:rsidRDefault="0052016D">
            <w:pPr>
              <w:pStyle w:val="TableRow"/>
              <w:rPr>
                <w:sz w:val="22"/>
                <w:szCs w:val="22"/>
              </w:rPr>
            </w:pPr>
            <w:r>
              <w:rPr>
                <w:sz w:val="22"/>
                <w:szCs w:val="22"/>
              </w:rPr>
              <w:t xml:space="preserve">3 </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A7446" w14:textId="43E76D4A" w:rsidR="00EC362B" w:rsidRDefault="0052016D" w:rsidP="00D07F20">
            <w:pPr>
              <w:pStyle w:val="TableRowCentered"/>
              <w:ind w:left="0"/>
              <w:jc w:val="left"/>
              <w:rPr>
                <w:sz w:val="22"/>
                <w:szCs w:val="22"/>
              </w:rPr>
            </w:pPr>
            <w:r>
              <w:rPr>
                <w:sz w:val="22"/>
                <w:szCs w:val="22"/>
              </w:rPr>
              <w:t xml:space="preserve">Our attainment data shows a </w:t>
            </w:r>
            <w:r w:rsidR="00AF1F0F">
              <w:rPr>
                <w:sz w:val="22"/>
                <w:szCs w:val="22"/>
              </w:rPr>
              <w:t>GCSE p</w:t>
            </w:r>
            <w:r w:rsidR="00EC362B">
              <w:rPr>
                <w:sz w:val="22"/>
                <w:szCs w:val="22"/>
              </w:rPr>
              <w:t xml:space="preserve">erformance gap at Grades 9-5 in English. </w:t>
            </w:r>
          </w:p>
          <w:p w14:paraId="2A7D54F4" w14:textId="3BB74A38" w:rsidR="00E66558" w:rsidRDefault="00AF1F0F" w:rsidP="00AF1F0F">
            <w:pPr>
              <w:pStyle w:val="TableRowCentered"/>
              <w:ind w:left="0"/>
              <w:jc w:val="left"/>
              <w:rPr>
                <w:sz w:val="22"/>
                <w:szCs w:val="22"/>
              </w:rPr>
            </w:pPr>
            <w:r>
              <w:rPr>
                <w:i/>
                <w:sz w:val="22"/>
                <w:szCs w:val="22"/>
              </w:rPr>
              <w:t xml:space="preserve">2021 Predicted outcomes: </w:t>
            </w:r>
            <w:proofErr w:type="gramStart"/>
            <w:r w:rsidR="00EC362B" w:rsidRPr="00EC362B">
              <w:rPr>
                <w:i/>
                <w:sz w:val="22"/>
                <w:szCs w:val="22"/>
              </w:rPr>
              <w:t>Non-PP</w:t>
            </w:r>
            <w:proofErr w:type="gramEnd"/>
            <w:r w:rsidR="00EC362B" w:rsidRPr="00EC362B">
              <w:rPr>
                <w:i/>
                <w:sz w:val="22"/>
                <w:szCs w:val="22"/>
              </w:rPr>
              <w:t xml:space="preserve"> 82.2% PP 61.5% Gap -20.7%</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329125DD" w:rsidR="00E66558" w:rsidRDefault="0052016D">
            <w:pPr>
              <w:pStyle w:val="TableRow"/>
              <w:rPr>
                <w:sz w:val="22"/>
                <w:szCs w:val="22"/>
              </w:rPr>
            </w:pPr>
            <w:r>
              <w:rPr>
                <w:sz w:val="22"/>
                <w:szCs w:val="22"/>
              </w:rPr>
              <w:t xml:space="preserve">4 </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0AF0D" w14:textId="1B1337AE" w:rsidR="00E66558" w:rsidRDefault="0052016D" w:rsidP="00D07F20">
            <w:pPr>
              <w:pStyle w:val="TableRowCentered"/>
              <w:ind w:left="0"/>
              <w:jc w:val="left"/>
              <w:rPr>
                <w:sz w:val="22"/>
                <w:szCs w:val="22"/>
              </w:rPr>
            </w:pPr>
            <w:r>
              <w:rPr>
                <w:sz w:val="22"/>
                <w:szCs w:val="22"/>
              </w:rPr>
              <w:t xml:space="preserve">Our attainment data shows a GCSE performance gap at </w:t>
            </w:r>
            <w:r w:rsidR="00D07F20">
              <w:rPr>
                <w:sz w:val="22"/>
                <w:szCs w:val="22"/>
              </w:rPr>
              <w:t>Grades 9-4 in English and Maths</w:t>
            </w:r>
          </w:p>
          <w:p w14:paraId="2A7D54F7" w14:textId="622F958A" w:rsidR="00D07F20" w:rsidRPr="00D07F20" w:rsidRDefault="00AF1F0F" w:rsidP="00D07F20">
            <w:pPr>
              <w:pStyle w:val="TableRowCentered"/>
              <w:ind w:left="0"/>
              <w:jc w:val="left"/>
              <w:rPr>
                <w:i/>
                <w:sz w:val="22"/>
                <w:szCs w:val="22"/>
              </w:rPr>
            </w:pPr>
            <w:r>
              <w:rPr>
                <w:i/>
                <w:sz w:val="22"/>
                <w:szCs w:val="22"/>
              </w:rPr>
              <w:t xml:space="preserve">2021 </w:t>
            </w:r>
            <w:r w:rsidR="00D07F20" w:rsidRPr="00D07F20">
              <w:rPr>
                <w:i/>
                <w:sz w:val="22"/>
                <w:szCs w:val="22"/>
              </w:rPr>
              <w:t>Predicted performance gap -43.1% compared to National Data -27.0%</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6C5C638F" w:rsidR="00E66558" w:rsidRDefault="000B16E1">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46DE2" w14:textId="4703D30D" w:rsidR="00474AAF" w:rsidRDefault="0052016D" w:rsidP="00474AAF">
            <w:pPr>
              <w:pStyle w:val="TableRowCentered"/>
              <w:ind w:left="0"/>
              <w:jc w:val="left"/>
              <w:rPr>
                <w:iCs/>
                <w:sz w:val="22"/>
              </w:rPr>
            </w:pPr>
            <w:r>
              <w:rPr>
                <w:iCs/>
                <w:sz w:val="22"/>
              </w:rPr>
              <w:t xml:space="preserve">Our report data shows a </w:t>
            </w:r>
            <w:r w:rsidR="00E56CC6">
              <w:rPr>
                <w:iCs/>
                <w:sz w:val="22"/>
              </w:rPr>
              <w:t xml:space="preserve">significant and </w:t>
            </w:r>
            <w:r w:rsidR="008826AA">
              <w:rPr>
                <w:iCs/>
                <w:sz w:val="22"/>
              </w:rPr>
              <w:t xml:space="preserve">growing </w:t>
            </w:r>
            <w:r>
              <w:rPr>
                <w:iCs/>
                <w:sz w:val="22"/>
              </w:rPr>
              <w:t>g</w:t>
            </w:r>
            <w:r w:rsidR="00474AAF">
              <w:rPr>
                <w:iCs/>
                <w:sz w:val="22"/>
              </w:rPr>
              <w:t>ap in Behaviour, Effort and Homework scores at Key Stage 3</w:t>
            </w:r>
            <w:r w:rsidR="00DA783B">
              <w:rPr>
                <w:iCs/>
                <w:sz w:val="22"/>
              </w:rPr>
              <w:t xml:space="preserve"> suggesting that disadvantaged students may be suffering motivation fatigue linked to issues with their wellbeing, self-esteem and/or independence.</w:t>
            </w:r>
          </w:p>
          <w:p w14:paraId="50B039DE" w14:textId="77777777" w:rsidR="00E66558" w:rsidRDefault="008826AA" w:rsidP="008826AA">
            <w:pPr>
              <w:pStyle w:val="TableRowCentered"/>
              <w:ind w:left="0"/>
              <w:jc w:val="left"/>
              <w:rPr>
                <w:i/>
                <w:iCs/>
                <w:sz w:val="22"/>
              </w:rPr>
            </w:pPr>
            <w:r>
              <w:rPr>
                <w:i/>
                <w:iCs/>
                <w:sz w:val="22"/>
              </w:rPr>
              <w:t>2021 report data compared to previous years’ report data.</w:t>
            </w:r>
          </w:p>
          <w:p w14:paraId="3567BFB1" w14:textId="3F44E1A3" w:rsidR="008826AA" w:rsidRDefault="008826AA" w:rsidP="008826AA">
            <w:pPr>
              <w:pStyle w:val="TableRowCentered"/>
              <w:ind w:left="0"/>
              <w:jc w:val="left"/>
              <w:rPr>
                <w:i/>
                <w:iCs/>
                <w:sz w:val="22"/>
              </w:rPr>
            </w:pPr>
            <w:r>
              <w:rPr>
                <w:i/>
                <w:iCs/>
                <w:sz w:val="22"/>
              </w:rPr>
              <w:t>Year 7 effort gap 2021 -0.2 v 2019 -0.08</w:t>
            </w:r>
          </w:p>
          <w:p w14:paraId="101A9028" w14:textId="76DEECE9" w:rsidR="008826AA" w:rsidRDefault="008826AA" w:rsidP="008826AA">
            <w:pPr>
              <w:pStyle w:val="TableRowCentered"/>
              <w:ind w:left="0"/>
              <w:jc w:val="left"/>
              <w:rPr>
                <w:i/>
                <w:iCs/>
                <w:sz w:val="22"/>
              </w:rPr>
            </w:pPr>
            <w:r>
              <w:rPr>
                <w:i/>
                <w:iCs/>
                <w:sz w:val="22"/>
              </w:rPr>
              <w:t>Year 8 effort gap 2021 -0.24 v 2019 -0.21</w:t>
            </w:r>
          </w:p>
          <w:p w14:paraId="71DCCCB6" w14:textId="45716CC0" w:rsidR="008826AA" w:rsidRDefault="008826AA" w:rsidP="008826AA">
            <w:pPr>
              <w:pStyle w:val="TableRowCentered"/>
              <w:ind w:left="0"/>
              <w:jc w:val="left"/>
              <w:rPr>
                <w:i/>
                <w:iCs/>
                <w:sz w:val="22"/>
              </w:rPr>
            </w:pPr>
            <w:r>
              <w:rPr>
                <w:i/>
                <w:iCs/>
                <w:sz w:val="22"/>
              </w:rPr>
              <w:t>Year 9 effort gap 2021 -0.3 v 2019 -0.24</w:t>
            </w:r>
          </w:p>
          <w:p w14:paraId="2A7D54FA" w14:textId="59F27779" w:rsidR="008826AA" w:rsidRPr="00474AAF" w:rsidRDefault="008826AA" w:rsidP="008826AA">
            <w:pPr>
              <w:pStyle w:val="TableRowCentered"/>
              <w:ind w:left="0"/>
              <w:jc w:val="left"/>
              <w:rPr>
                <w:i/>
                <w:iCs/>
                <w:sz w:val="22"/>
              </w:rPr>
            </w:pPr>
            <w:r>
              <w:rPr>
                <w:i/>
                <w:iCs/>
                <w:sz w:val="22"/>
              </w:rPr>
              <w:t>Year 9 homework gap 2021 -0.25 v 2019 -0.19</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3886A68E" w:rsidR="00E66558" w:rsidRDefault="000B16E1">
            <w:pPr>
              <w:pStyle w:val="TableRow"/>
              <w:rPr>
                <w:sz w:val="22"/>
                <w:szCs w:val="22"/>
              </w:rPr>
            </w:pPr>
            <w:bookmarkStart w:id="17" w:name="_Toc443397160"/>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4E960" w14:textId="773BF4E0" w:rsidR="00450FAD" w:rsidRDefault="00135325" w:rsidP="00AD012C">
            <w:pPr>
              <w:pStyle w:val="TableRowCentered"/>
              <w:ind w:left="0"/>
              <w:jc w:val="left"/>
              <w:rPr>
                <w:iCs/>
                <w:sz w:val="22"/>
              </w:rPr>
            </w:pPr>
            <w:r>
              <w:rPr>
                <w:iCs/>
                <w:sz w:val="22"/>
              </w:rPr>
              <w:t xml:space="preserve">Levels of parental engagement show that there may be barriers limiting our ability to </w:t>
            </w:r>
            <w:r w:rsidR="00CB338E">
              <w:rPr>
                <w:iCs/>
                <w:sz w:val="22"/>
              </w:rPr>
              <w:t>work together in partnership</w:t>
            </w:r>
            <w:r>
              <w:rPr>
                <w:iCs/>
                <w:sz w:val="22"/>
              </w:rPr>
              <w:t xml:space="preserve"> with all families.</w:t>
            </w:r>
          </w:p>
          <w:p w14:paraId="64901C68" w14:textId="0EDD1680" w:rsidR="00474AAF" w:rsidRDefault="00DA783B" w:rsidP="00AD012C">
            <w:pPr>
              <w:pStyle w:val="TableRowCentered"/>
              <w:ind w:left="0"/>
              <w:jc w:val="left"/>
              <w:rPr>
                <w:iCs/>
                <w:sz w:val="22"/>
              </w:rPr>
            </w:pPr>
            <w:r>
              <w:rPr>
                <w:iCs/>
                <w:sz w:val="22"/>
              </w:rPr>
              <w:t>Our</w:t>
            </w:r>
            <w:r w:rsidR="005872EF">
              <w:rPr>
                <w:iCs/>
                <w:sz w:val="22"/>
              </w:rPr>
              <w:t xml:space="preserve"> online</w:t>
            </w:r>
            <w:r>
              <w:rPr>
                <w:iCs/>
                <w:sz w:val="22"/>
              </w:rPr>
              <w:t xml:space="preserve"> parents’ evenings </w:t>
            </w:r>
            <w:r w:rsidR="005872EF">
              <w:rPr>
                <w:iCs/>
                <w:sz w:val="22"/>
              </w:rPr>
              <w:t>are being</w:t>
            </w:r>
            <w:r>
              <w:rPr>
                <w:iCs/>
                <w:sz w:val="22"/>
              </w:rPr>
              <w:t xml:space="preserve"> attended at a lower rate by parents of disadvantaged students compared to non-disadvantaged students</w:t>
            </w:r>
            <w:r w:rsidR="005872EF">
              <w:rPr>
                <w:iCs/>
                <w:sz w:val="22"/>
              </w:rPr>
              <w:t xml:space="preserve">, suggesting that there are personal, social and/or technological barriers preventing parents from attending. </w:t>
            </w:r>
          </w:p>
          <w:p w14:paraId="2A7D54FD" w14:textId="4210D558" w:rsidR="00AD012C" w:rsidRPr="00862C65" w:rsidRDefault="00862C65" w:rsidP="00AD012C">
            <w:pPr>
              <w:pStyle w:val="TableRowCentered"/>
              <w:ind w:left="0"/>
              <w:jc w:val="left"/>
              <w:rPr>
                <w:i/>
                <w:iCs/>
                <w:sz w:val="22"/>
              </w:rPr>
            </w:pPr>
            <w:r>
              <w:rPr>
                <w:i/>
                <w:iCs/>
                <w:sz w:val="22"/>
              </w:rPr>
              <w:t>A</w:t>
            </w:r>
            <w:r w:rsidRPr="00862C65">
              <w:rPr>
                <w:i/>
                <w:iCs/>
                <w:sz w:val="22"/>
              </w:rPr>
              <w:t xml:space="preserve">verage attendance </w:t>
            </w:r>
            <w:r>
              <w:rPr>
                <w:i/>
                <w:iCs/>
                <w:sz w:val="22"/>
              </w:rPr>
              <w:t>a</w:t>
            </w:r>
            <w:r w:rsidRPr="00862C65">
              <w:rPr>
                <w:i/>
                <w:iCs/>
                <w:sz w:val="22"/>
              </w:rPr>
              <w:t xml:space="preserve">cross all parents’ </w:t>
            </w:r>
            <w:r>
              <w:rPr>
                <w:i/>
                <w:iCs/>
                <w:sz w:val="22"/>
              </w:rPr>
              <w:t>evenings</w:t>
            </w:r>
            <w:r w:rsidRPr="00862C65">
              <w:rPr>
                <w:i/>
                <w:iCs/>
                <w:sz w:val="22"/>
              </w:rPr>
              <w:t xml:space="preserve">: </w:t>
            </w:r>
            <w:proofErr w:type="gramStart"/>
            <w:r w:rsidRPr="00862C65">
              <w:rPr>
                <w:i/>
                <w:iCs/>
                <w:sz w:val="22"/>
              </w:rPr>
              <w:t>Non-PP</w:t>
            </w:r>
            <w:proofErr w:type="gramEnd"/>
            <w:r w:rsidRPr="00862C65">
              <w:rPr>
                <w:i/>
                <w:iCs/>
                <w:sz w:val="22"/>
              </w:rPr>
              <w:t xml:space="preserve"> 86.8%, PP 63.8% </w:t>
            </w:r>
          </w:p>
        </w:tc>
      </w:tr>
      <w:tr w:rsidR="00AE0FDF" w14:paraId="6514174A"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A5574" w14:textId="3F1513B3" w:rsidR="00AE0FDF" w:rsidRDefault="005872EF">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D2CDA" w14:textId="666B6067" w:rsidR="00474AAF" w:rsidRDefault="000B16E1" w:rsidP="00AD012C">
            <w:pPr>
              <w:pStyle w:val="TableRowCentered"/>
              <w:ind w:left="0"/>
              <w:jc w:val="left"/>
              <w:rPr>
                <w:iCs/>
                <w:sz w:val="22"/>
              </w:rPr>
            </w:pPr>
            <w:r>
              <w:rPr>
                <w:iCs/>
                <w:sz w:val="22"/>
              </w:rPr>
              <w:t>Our a</w:t>
            </w:r>
            <w:r w:rsidR="00474AAF">
              <w:rPr>
                <w:iCs/>
                <w:sz w:val="22"/>
              </w:rPr>
              <w:t xml:space="preserve">ttendance </w:t>
            </w:r>
            <w:r>
              <w:rPr>
                <w:iCs/>
                <w:sz w:val="22"/>
              </w:rPr>
              <w:t xml:space="preserve">data shows that over the past year </w:t>
            </w:r>
            <w:r w:rsidR="00E06BB5">
              <w:rPr>
                <w:iCs/>
                <w:sz w:val="22"/>
              </w:rPr>
              <w:t xml:space="preserve">shows </w:t>
            </w:r>
            <w:r>
              <w:rPr>
                <w:iCs/>
                <w:sz w:val="22"/>
              </w:rPr>
              <w:t>attendance for disadvantaged students has been lower than that of non-disadvantaged students.</w:t>
            </w:r>
            <w:r w:rsidR="005872EF">
              <w:rPr>
                <w:iCs/>
                <w:sz w:val="22"/>
              </w:rPr>
              <w:t xml:space="preserve"> Assessment and observation data show that this level of absence is negatively impacting on the progress of disadvantaged students.</w:t>
            </w:r>
          </w:p>
          <w:p w14:paraId="1A36C496" w14:textId="4FA27F9A" w:rsidR="001A32EC" w:rsidRPr="001A32EC" w:rsidRDefault="001A32EC" w:rsidP="001A32EC">
            <w:pPr>
              <w:pStyle w:val="TableRowCentered"/>
              <w:jc w:val="left"/>
              <w:rPr>
                <w:i/>
                <w:sz w:val="22"/>
                <w:szCs w:val="22"/>
              </w:rPr>
            </w:pPr>
            <w:r>
              <w:rPr>
                <w:i/>
                <w:sz w:val="22"/>
                <w:szCs w:val="22"/>
              </w:rPr>
              <w:t>Attendance 2020-21</w:t>
            </w:r>
            <w:r w:rsidR="00E06BB5">
              <w:rPr>
                <w:i/>
                <w:sz w:val="22"/>
                <w:szCs w:val="22"/>
              </w:rPr>
              <w:t>*</w:t>
            </w:r>
            <w:r>
              <w:rPr>
                <w:i/>
                <w:sz w:val="22"/>
                <w:szCs w:val="22"/>
              </w:rPr>
              <w:t>:</w:t>
            </w:r>
            <w:r>
              <w:t xml:space="preserve"> </w:t>
            </w:r>
            <w:r w:rsidRPr="001A32EC">
              <w:rPr>
                <w:i/>
                <w:sz w:val="22"/>
                <w:szCs w:val="22"/>
              </w:rPr>
              <w:t>Non</w:t>
            </w:r>
            <w:r>
              <w:rPr>
                <w:i/>
                <w:sz w:val="22"/>
                <w:szCs w:val="22"/>
              </w:rPr>
              <w:t>-</w:t>
            </w:r>
            <w:r w:rsidRPr="001A32EC">
              <w:rPr>
                <w:i/>
                <w:sz w:val="22"/>
                <w:szCs w:val="22"/>
              </w:rPr>
              <w:t>PP 96.50%</w:t>
            </w:r>
            <w:r>
              <w:rPr>
                <w:i/>
                <w:sz w:val="22"/>
                <w:szCs w:val="22"/>
              </w:rPr>
              <w:t xml:space="preserve">, </w:t>
            </w:r>
            <w:r w:rsidRPr="001A32EC">
              <w:rPr>
                <w:i/>
                <w:sz w:val="22"/>
                <w:szCs w:val="22"/>
              </w:rPr>
              <w:t>PP 91.93%</w:t>
            </w:r>
            <w:r w:rsidR="00CD168C">
              <w:rPr>
                <w:i/>
                <w:sz w:val="22"/>
                <w:szCs w:val="22"/>
              </w:rPr>
              <w:t xml:space="preserve"> Gap: 4.57%</w:t>
            </w:r>
          </w:p>
          <w:p w14:paraId="2184FC35" w14:textId="5DAC6395" w:rsidR="001A32EC" w:rsidRDefault="001A32EC" w:rsidP="001A32EC">
            <w:pPr>
              <w:pStyle w:val="TableRowCentered"/>
              <w:jc w:val="left"/>
              <w:rPr>
                <w:i/>
                <w:iCs/>
                <w:sz w:val="22"/>
              </w:rPr>
            </w:pPr>
            <w:r>
              <w:rPr>
                <w:i/>
                <w:iCs/>
                <w:sz w:val="22"/>
              </w:rPr>
              <w:t>Persistent Absence 2020-21</w:t>
            </w:r>
            <w:r w:rsidR="00E06BB5">
              <w:rPr>
                <w:i/>
                <w:iCs/>
                <w:sz w:val="22"/>
              </w:rPr>
              <w:t>*</w:t>
            </w:r>
            <w:r>
              <w:rPr>
                <w:i/>
                <w:iCs/>
                <w:sz w:val="22"/>
              </w:rPr>
              <w:t xml:space="preserve">: </w:t>
            </w:r>
            <w:r w:rsidRPr="001A32EC">
              <w:rPr>
                <w:i/>
                <w:iCs/>
                <w:sz w:val="22"/>
              </w:rPr>
              <w:t>Non</w:t>
            </w:r>
            <w:r>
              <w:rPr>
                <w:i/>
                <w:iCs/>
                <w:sz w:val="22"/>
              </w:rPr>
              <w:t>-</w:t>
            </w:r>
            <w:r w:rsidRPr="001A32EC">
              <w:rPr>
                <w:i/>
                <w:iCs/>
                <w:sz w:val="22"/>
              </w:rPr>
              <w:t>PP 6.6%</w:t>
            </w:r>
            <w:r>
              <w:rPr>
                <w:i/>
                <w:iCs/>
                <w:sz w:val="22"/>
              </w:rPr>
              <w:t xml:space="preserve">, </w:t>
            </w:r>
            <w:r w:rsidRPr="001A32EC">
              <w:rPr>
                <w:i/>
                <w:iCs/>
                <w:sz w:val="22"/>
              </w:rPr>
              <w:t>PP 20.65%</w:t>
            </w:r>
            <w:r w:rsidR="00CD168C">
              <w:rPr>
                <w:i/>
                <w:iCs/>
                <w:sz w:val="22"/>
              </w:rPr>
              <w:t xml:space="preserve"> </w:t>
            </w:r>
          </w:p>
          <w:p w14:paraId="516D3196" w14:textId="0CFD2C54" w:rsidR="00DC5749" w:rsidRPr="00862C65" w:rsidRDefault="00E06BB5" w:rsidP="00E06BB5">
            <w:pPr>
              <w:pStyle w:val="TableRowCentered"/>
              <w:jc w:val="right"/>
              <w:rPr>
                <w:i/>
                <w:iCs/>
                <w:sz w:val="22"/>
              </w:rPr>
            </w:pPr>
            <w:r>
              <w:rPr>
                <w:i/>
                <w:iCs/>
                <w:sz w:val="22"/>
              </w:rPr>
              <w:t>*Figures exclude periods of online learning</w:t>
            </w:r>
          </w:p>
        </w:tc>
      </w:tr>
      <w:tr w:rsidR="00DC5749" w14:paraId="1BD4B30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B974E" w14:textId="2C104786" w:rsidR="00DC5749" w:rsidRDefault="00AC06E0">
            <w:pPr>
              <w:pStyle w:val="TableRow"/>
              <w:rPr>
                <w:sz w:val="22"/>
                <w:szCs w:val="22"/>
              </w:rPr>
            </w:pPr>
            <w:r>
              <w:rPr>
                <w:sz w:val="22"/>
                <w:szCs w:val="22"/>
              </w:rPr>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499DA" w14:textId="224B38D6" w:rsidR="00DC5749" w:rsidRDefault="00E06BB5" w:rsidP="00AD012C">
            <w:pPr>
              <w:pStyle w:val="TableRowCentered"/>
              <w:ind w:left="0"/>
              <w:jc w:val="left"/>
              <w:rPr>
                <w:iCs/>
                <w:sz w:val="22"/>
              </w:rPr>
            </w:pPr>
            <w:r>
              <w:rPr>
                <w:iCs/>
                <w:sz w:val="22"/>
              </w:rPr>
              <w:t>The r</w:t>
            </w:r>
            <w:r w:rsidR="00DC5749">
              <w:rPr>
                <w:iCs/>
                <w:sz w:val="22"/>
              </w:rPr>
              <w:t>ate of exclusion</w:t>
            </w:r>
            <w:r w:rsidR="005872EF">
              <w:rPr>
                <w:iCs/>
                <w:sz w:val="22"/>
              </w:rPr>
              <w:t xml:space="preserve"> for disadvantaged students </w:t>
            </w:r>
            <w:r>
              <w:rPr>
                <w:iCs/>
                <w:sz w:val="22"/>
              </w:rPr>
              <w:t>is</w:t>
            </w:r>
            <w:r w:rsidR="005872EF">
              <w:rPr>
                <w:iCs/>
                <w:sz w:val="22"/>
              </w:rPr>
              <w:t xml:space="preserve"> higher than non-disadvantaged students</w:t>
            </w:r>
            <w:r w:rsidR="00732230">
              <w:rPr>
                <w:iCs/>
                <w:sz w:val="22"/>
              </w:rPr>
              <w:t>. This suggests that they</w:t>
            </w:r>
            <w:r w:rsidR="004B31AC">
              <w:rPr>
                <w:iCs/>
                <w:sz w:val="22"/>
              </w:rPr>
              <w:t xml:space="preserve"> </w:t>
            </w:r>
            <w:r w:rsidR="00732230">
              <w:rPr>
                <w:iCs/>
                <w:sz w:val="22"/>
              </w:rPr>
              <w:t>experience significant barriers to following the school’s</w:t>
            </w:r>
            <w:r w:rsidR="00C304DD">
              <w:rPr>
                <w:iCs/>
                <w:sz w:val="22"/>
              </w:rPr>
              <w:t xml:space="preserve"> pastoral systems </w:t>
            </w:r>
            <w:r w:rsidR="00732230">
              <w:rPr>
                <w:iCs/>
                <w:sz w:val="22"/>
              </w:rPr>
              <w:t>which support the majority of students (PP and non-PP) to succeed.</w:t>
            </w:r>
          </w:p>
          <w:p w14:paraId="5B886D44" w14:textId="01AAFAAA" w:rsidR="00DC5749" w:rsidRPr="00E06BB5" w:rsidRDefault="00E06BB5" w:rsidP="00AD012C">
            <w:pPr>
              <w:pStyle w:val="TableRowCentered"/>
              <w:ind w:left="0"/>
              <w:jc w:val="left"/>
              <w:rPr>
                <w:i/>
                <w:sz w:val="22"/>
              </w:rPr>
            </w:pPr>
            <w:r w:rsidRPr="00E06BB5">
              <w:rPr>
                <w:i/>
                <w:sz w:val="22"/>
              </w:rPr>
              <w:t>Exclusions 2020-21: Non-PP</w:t>
            </w:r>
            <w:r w:rsidRPr="00E06BB5">
              <w:rPr>
                <w:i/>
                <w:sz w:val="22"/>
              </w:rPr>
              <w:tab/>
            </w:r>
            <w:r>
              <w:rPr>
                <w:i/>
                <w:sz w:val="22"/>
              </w:rPr>
              <w:t>1</w:t>
            </w:r>
            <w:r w:rsidR="003035BE">
              <w:rPr>
                <w:i/>
                <w:sz w:val="22"/>
              </w:rPr>
              <w:t>6</w:t>
            </w:r>
            <w:r w:rsidRPr="00E06BB5">
              <w:rPr>
                <w:i/>
                <w:sz w:val="22"/>
              </w:rPr>
              <w:t xml:space="preserve"> (1.3% of cohort) PP </w:t>
            </w:r>
            <w:r>
              <w:rPr>
                <w:i/>
                <w:sz w:val="22"/>
              </w:rPr>
              <w:t>1</w:t>
            </w:r>
            <w:r w:rsidR="003035BE">
              <w:rPr>
                <w:i/>
                <w:sz w:val="22"/>
              </w:rPr>
              <w:t>1</w:t>
            </w:r>
            <w:r w:rsidRPr="00E06BB5">
              <w:rPr>
                <w:i/>
                <w:sz w:val="22"/>
              </w:rPr>
              <w:t xml:space="preserve"> (12% of cohort)</w:t>
            </w:r>
          </w:p>
        </w:tc>
      </w:tr>
      <w:tr w:rsidR="00DC5749" w14:paraId="564CA10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9655B" w14:textId="6FEB917E" w:rsidR="00DC5749" w:rsidRDefault="00AC06E0">
            <w:pPr>
              <w:pStyle w:val="TableRow"/>
              <w:rPr>
                <w:sz w:val="22"/>
                <w:szCs w:val="22"/>
              </w:rPr>
            </w:pPr>
            <w:r>
              <w:rPr>
                <w:sz w:val="22"/>
                <w:szCs w:val="22"/>
              </w:rPr>
              <w:t>9</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CE089" w14:textId="6BB9001F" w:rsidR="00DC5749" w:rsidRDefault="005872EF" w:rsidP="00AD012C">
            <w:pPr>
              <w:pStyle w:val="TableRowCentered"/>
              <w:ind w:left="0"/>
              <w:jc w:val="left"/>
              <w:rPr>
                <w:iCs/>
                <w:sz w:val="22"/>
              </w:rPr>
            </w:pPr>
            <w:r>
              <w:rPr>
                <w:iCs/>
                <w:sz w:val="22"/>
              </w:rPr>
              <w:t xml:space="preserve">Attendance data from extra-curricular clubs </w:t>
            </w:r>
            <w:r w:rsidR="004B31AC">
              <w:rPr>
                <w:iCs/>
                <w:sz w:val="22"/>
              </w:rPr>
              <w:t xml:space="preserve">and </w:t>
            </w:r>
            <w:r w:rsidR="00C304DD">
              <w:rPr>
                <w:iCs/>
                <w:sz w:val="22"/>
              </w:rPr>
              <w:t xml:space="preserve">low levels of </w:t>
            </w:r>
            <w:r w:rsidR="004B31AC">
              <w:rPr>
                <w:iCs/>
                <w:sz w:val="22"/>
              </w:rPr>
              <w:t>participation in student leadership roles indicate</w:t>
            </w:r>
            <w:r>
              <w:rPr>
                <w:iCs/>
                <w:sz w:val="22"/>
              </w:rPr>
              <w:t xml:space="preserve"> that </w:t>
            </w:r>
            <w:r w:rsidR="004B31AC">
              <w:rPr>
                <w:iCs/>
                <w:sz w:val="22"/>
              </w:rPr>
              <w:t>disadvantaged</w:t>
            </w:r>
            <w:r w:rsidR="000452E7">
              <w:rPr>
                <w:iCs/>
                <w:sz w:val="22"/>
              </w:rPr>
              <w:t xml:space="preserve"> students’ </w:t>
            </w:r>
            <w:r w:rsidR="004B31AC">
              <w:rPr>
                <w:iCs/>
                <w:sz w:val="22"/>
              </w:rPr>
              <w:t>ability</w:t>
            </w:r>
            <w:r w:rsidR="000452E7">
              <w:rPr>
                <w:iCs/>
                <w:sz w:val="22"/>
              </w:rPr>
              <w:t xml:space="preserve"> to engage with and effect change upon all aspects of the school community</w:t>
            </w:r>
            <w:r w:rsidR="004B31AC">
              <w:rPr>
                <w:iCs/>
                <w:sz w:val="22"/>
              </w:rPr>
              <w:t xml:space="preserve"> is more limited than non-disadvantaged students. This points to </w:t>
            </w:r>
            <w:r w:rsidR="00C304DD">
              <w:rPr>
                <w:iCs/>
                <w:sz w:val="22"/>
              </w:rPr>
              <w:t xml:space="preserve">the possibility that </w:t>
            </w:r>
            <w:r w:rsidR="00332E9B">
              <w:rPr>
                <w:iCs/>
                <w:sz w:val="22"/>
              </w:rPr>
              <w:t>disadvantage</w:t>
            </w:r>
            <w:r w:rsidR="00C304DD">
              <w:rPr>
                <w:iCs/>
                <w:sz w:val="22"/>
              </w:rPr>
              <w:t xml:space="preserve">d students may </w:t>
            </w:r>
            <w:r w:rsidR="00332E9B">
              <w:rPr>
                <w:iCs/>
                <w:sz w:val="22"/>
              </w:rPr>
              <w:t>feel that they are on the margins of the Fulford School community.</w:t>
            </w:r>
          </w:p>
          <w:p w14:paraId="7161F6F9" w14:textId="4C9C502E" w:rsidR="000452E7" w:rsidRDefault="000452E7" w:rsidP="00AD012C">
            <w:pPr>
              <w:pStyle w:val="TableRowCentered"/>
              <w:ind w:left="0"/>
              <w:jc w:val="left"/>
              <w:rPr>
                <w:iCs/>
                <w:sz w:val="22"/>
              </w:rPr>
            </w:pP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AC06E0"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AC06E0" w:rsidRDefault="009D71E8">
            <w:pPr>
              <w:pStyle w:val="TableHeader"/>
              <w:jc w:val="left"/>
              <w:rPr>
                <w:sz w:val="22"/>
                <w:szCs w:val="22"/>
              </w:rPr>
            </w:pPr>
            <w:r w:rsidRPr="00AC06E0">
              <w:rPr>
                <w:sz w:val="22"/>
                <w:szCs w:val="22"/>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AC06E0" w:rsidRDefault="009D71E8">
            <w:pPr>
              <w:pStyle w:val="TableHeader"/>
              <w:jc w:val="left"/>
              <w:rPr>
                <w:sz w:val="22"/>
                <w:szCs w:val="22"/>
              </w:rPr>
            </w:pPr>
            <w:r w:rsidRPr="00AC06E0">
              <w:rPr>
                <w:sz w:val="22"/>
                <w:szCs w:val="22"/>
              </w:rPr>
              <w:t>Success criteria</w:t>
            </w:r>
          </w:p>
        </w:tc>
      </w:tr>
      <w:tr w:rsidR="00E66558" w:rsidRPr="00AC06E0"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1BE8C50" w:rsidR="00E66558" w:rsidRPr="00AC06E0" w:rsidRDefault="00394B7E" w:rsidP="00D13144">
            <w:pPr>
              <w:pStyle w:val="TableRow"/>
              <w:rPr>
                <w:sz w:val="22"/>
                <w:szCs w:val="22"/>
              </w:rPr>
            </w:pPr>
            <w:r w:rsidRPr="00AC06E0">
              <w:rPr>
                <w:sz w:val="22"/>
                <w:szCs w:val="22"/>
              </w:rPr>
              <w:t>To improve attainment among disadvantaged students across the curriculum at the end of KS4, with a particular focus on English and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2AA41" w14:textId="5D13542B" w:rsidR="00E66558" w:rsidRPr="00AC06E0" w:rsidRDefault="00807FB6" w:rsidP="00D07F20">
            <w:pPr>
              <w:pStyle w:val="TableRowCentered"/>
              <w:jc w:val="left"/>
              <w:rPr>
                <w:sz w:val="22"/>
                <w:szCs w:val="22"/>
              </w:rPr>
            </w:pPr>
            <w:r w:rsidRPr="00AC06E0">
              <w:rPr>
                <w:sz w:val="22"/>
                <w:szCs w:val="22"/>
              </w:rPr>
              <w:t>By the end of our current plan in 202</w:t>
            </w:r>
            <w:r w:rsidR="00DF7A20">
              <w:rPr>
                <w:sz w:val="22"/>
                <w:szCs w:val="22"/>
              </w:rPr>
              <w:t>3/</w:t>
            </w:r>
            <w:r w:rsidRPr="00AC06E0">
              <w:rPr>
                <w:sz w:val="22"/>
                <w:szCs w:val="22"/>
              </w:rPr>
              <w:t>2</w:t>
            </w:r>
            <w:r w:rsidR="00DF7A20">
              <w:rPr>
                <w:sz w:val="22"/>
                <w:szCs w:val="22"/>
              </w:rPr>
              <w:t>4</w:t>
            </w:r>
            <w:r w:rsidRPr="00AC06E0">
              <w:rPr>
                <w:sz w:val="22"/>
                <w:szCs w:val="22"/>
              </w:rPr>
              <w:t xml:space="preserve">, </w:t>
            </w:r>
            <w:r w:rsidR="00C164AF" w:rsidRPr="00AC06E0">
              <w:rPr>
                <w:sz w:val="22"/>
                <w:szCs w:val="22"/>
              </w:rPr>
              <w:t>P</w:t>
            </w:r>
            <w:r w:rsidR="00AF1F0F" w:rsidRPr="00AC06E0">
              <w:rPr>
                <w:sz w:val="22"/>
                <w:szCs w:val="22"/>
              </w:rPr>
              <w:t>rogress 8 s</w:t>
            </w:r>
            <w:r w:rsidR="00C164AF" w:rsidRPr="00AC06E0">
              <w:rPr>
                <w:sz w:val="22"/>
                <w:szCs w:val="22"/>
              </w:rPr>
              <w:t xml:space="preserve">cores show </w:t>
            </w:r>
            <w:r w:rsidR="00D13144" w:rsidRPr="00AC06E0">
              <w:rPr>
                <w:sz w:val="22"/>
                <w:szCs w:val="22"/>
              </w:rPr>
              <w:t>PP students’ outcomes are in line with non-PP students’ nationally</w:t>
            </w:r>
          </w:p>
          <w:p w14:paraId="2A7D5505" w14:textId="1E0082EB" w:rsidR="00D07F20" w:rsidRPr="00AC06E0" w:rsidRDefault="00D07F20" w:rsidP="00AF1F0F">
            <w:pPr>
              <w:pStyle w:val="TableRowCentered"/>
              <w:jc w:val="left"/>
              <w:rPr>
                <w:sz w:val="22"/>
                <w:szCs w:val="22"/>
              </w:rPr>
            </w:pPr>
          </w:p>
        </w:tc>
      </w:tr>
      <w:tr w:rsidR="00F64FB8" w:rsidRPr="00AC06E0" w14:paraId="082E5AE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4FF20" w14:textId="77777777" w:rsidR="00F64FB8" w:rsidRPr="00AC06E0" w:rsidRDefault="00F64FB8" w:rsidP="00F64FB8">
            <w:pPr>
              <w:pStyle w:val="TableRow"/>
              <w:rPr>
                <w:sz w:val="22"/>
                <w:szCs w:val="22"/>
              </w:rPr>
            </w:pPr>
            <w:r w:rsidRPr="00AC06E0">
              <w:rPr>
                <w:sz w:val="22"/>
                <w:szCs w:val="22"/>
              </w:rPr>
              <w:t>To improve the participation of disadvantaged students in the full life of the school, including representation in student leadership</w:t>
            </w:r>
          </w:p>
          <w:p w14:paraId="512D9227" w14:textId="45CCE8D4" w:rsidR="005E4259" w:rsidRPr="00AC06E0" w:rsidRDefault="005E4259" w:rsidP="005E4259">
            <w:pPr>
              <w:pStyle w:val="TableRow"/>
              <w:numPr>
                <w:ilvl w:val="0"/>
                <w:numId w:val="20"/>
              </w:numPr>
              <w:rPr>
                <w:sz w:val="22"/>
                <w:szCs w:val="22"/>
              </w:rPr>
            </w:pPr>
            <w:r w:rsidRPr="00AC06E0">
              <w:rPr>
                <w:sz w:val="22"/>
                <w:szCs w:val="22"/>
              </w:rPr>
              <w:t>Link to support for SEMH</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94658" w14:textId="106015E8" w:rsidR="00F64FB8" w:rsidRPr="00AC06E0" w:rsidRDefault="00807FB6" w:rsidP="00F64FB8">
            <w:pPr>
              <w:pStyle w:val="TableRowCentered"/>
              <w:jc w:val="left"/>
              <w:rPr>
                <w:sz w:val="22"/>
                <w:szCs w:val="22"/>
              </w:rPr>
            </w:pPr>
            <w:r w:rsidRPr="00AC06E0">
              <w:rPr>
                <w:sz w:val="22"/>
                <w:szCs w:val="22"/>
              </w:rPr>
              <w:t>By the end of our current plan in 202</w:t>
            </w:r>
            <w:r w:rsidR="00DF7A20">
              <w:rPr>
                <w:sz w:val="22"/>
                <w:szCs w:val="22"/>
              </w:rPr>
              <w:t>3</w:t>
            </w:r>
            <w:r w:rsidRPr="00AC06E0">
              <w:rPr>
                <w:sz w:val="22"/>
                <w:szCs w:val="22"/>
              </w:rPr>
              <w:t>/2</w:t>
            </w:r>
            <w:r w:rsidR="00DF7A20">
              <w:rPr>
                <w:sz w:val="22"/>
                <w:szCs w:val="22"/>
              </w:rPr>
              <w:t>4</w:t>
            </w:r>
            <w:r w:rsidRPr="00AC06E0">
              <w:rPr>
                <w:sz w:val="22"/>
                <w:szCs w:val="22"/>
              </w:rPr>
              <w:t>, a</w:t>
            </w:r>
            <w:r w:rsidR="00F64FB8" w:rsidRPr="00AC06E0">
              <w:rPr>
                <w:sz w:val="22"/>
                <w:szCs w:val="22"/>
              </w:rPr>
              <w:t>ttendance at extra curricula activities in line with non-PP students</w:t>
            </w:r>
          </w:p>
          <w:p w14:paraId="5C4CC4FF" w14:textId="3F2C696C" w:rsidR="00F64FB8" w:rsidRPr="00AC06E0" w:rsidRDefault="00F64FB8" w:rsidP="00F64FB8">
            <w:pPr>
              <w:pStyle w:val="TableRowCentered"/>
              <w:jc w:val="left"/>
              <w:rPr>
                <w:sz w:val="22"/>
                <w:szCs w:val="22"/>
              </w:rPr>
            </w:pPr>
            <w:r w:rsidRPr="00AC06E0">
              <w:rPr>
                <w:sz w:val="22"/>
                <w:szCs w:val="22"/>
              </w:rPr>
              <w:t>Participation in student leadership activities</w:t>
            </w:r>
          </w:p>
        </w:tc>
      </w:tr>
      <w:tr w:rsidR="00F64FB8" w:rsidRPr="00AC06E0" w14:paraId="1FAC2C2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13A20" w14:textId="2C5BAA15" w:rsidR="00F64FB8" w:rsidRPr="00AC06E0" w:rsidRDefault="00F64FB8" w:rsidP="00F64FB8">
            <w:pPr>
              <w:pStyle w:val="TableRow"/>
              <w:ind w:left="0"/>
              <w:rPr>
                <w:i/>
                <w:iCs/>
                <w:sz w:val="22"/>
                <w:szCs w:val="22"/>
              </w:rPr>
            </w:pPr>
            <w:r w:rsidRPr="00AC06E0">
              <w:rPr>
                <w:sz w:val="22"/>
                <w:szCs w:val="22"/>
              </w:rPr>
              <w:t>To achieve and sustain improved attendance for all students, particularly our disadvantaged students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8A332" w14:textId="5D98BFC9" w:rsidR="00F64FB8" w:rsidRPr="00AC06E0" w:rsidRDefault="00807FB6" w:rsidP="00F64FB8">
            <w:pPr>
              <w:pStyle w:val="TableRowCentered"/>
              <w:jc w:val="left"/>
              <w:rPr>
                <w:sz w:val="22"/>
                <w:szCs w:val="22"/>
              </w:rPr>
            </w:pPr>
            <w:r w:rsidRPr="00AC06E0">
              <w:rPr>
                <w:sz w:val="22"/>
                <w:szCs w:val="22"/>
              </w:rPr>
              <w:t>By the end of our current plan in 202</w:t>
            </w:r>
            <w:r w:rsidR="00DF7A20">
              <w:rPr>
                <w:sz w:val="22"/>
                <w:szCs w:val="22"/>
              </w:rPr>
              <w:t>3</w:t>
            </w:r>
            <w:r w:rsidRPr="00AC06E0">
              <w:rPr>
                <w:sz w:val="22"/>
                <w:szCs w:val="22"/>
              </w:rPr>
              <w:t>/2</w:t>
            </w:r>
            <w:r w:rsidR="00DF7A20">
              <w:rPr>
                <w:sz w:val="22"/>
                <w:szCs w:val="22"/>
              </w:rPr>
              <w:t>4</w:t>
            </w:r>
            <w:r w:rsidRPr="00AC06E0">
              <w:rPr>
                <w:sz w:val="22"/>
                <w:szCs w:val="22"/>
              </w:rPr>
              <w:t>, s</w:t>
            </w:r>
            <w:r w:rsidR="00F64FB8" w:rsidRPr="00AC06E0">
              <w:rPr>
                <w:sz w:val="22"/>
                <w:szCs w:val="22"/>
              </w:rPr>
              <w:t xml:space="preserve">ustained high attendance </w:t>
            </w:r>
            <w:r w:rsidRPr="00AC06E0">
              <w:rPr>
                <w:sz w:val="22"/>
                <w:szCs w:val="22"/>
              </w:rPr>
              <w:t xml:space="preserve">will be </w:t>
            </w:r>
            <w:r w:rsidR="00F64FB8" w:rsidRPr="00AC06E0">
              <w:rPr>
                <w:sz w:val="22"/>
                <w:szCs w:val="22"/>
              </w:rPr>
              <w:t>demonstrated by:</w:t>
            </w:r>
          </w:p>
          <w:p w14:paraId="21B99E84" w14:textId="427B36A5" w:rsidR="00F64FB8" w:rsidRPr="00AC06E0" w:rsidRDefault="00F64FB8" w:rsidP="00F64FB8">
            <w:pPr>
              <w:pStyle w:val="TableRowCentered"/>
              <w:numPr>
                <w:ilvl w:val="0"/>
                <w:numId w:val="18"/>
              </w:numPr>
              <w:jc w:val="left"/>
              <w:rPr>
                <w:sz w:val="22"/>
                <w:szCs w:val="22"/>
              </w:rPr>
            </w:pPr>
            <w:r w:rsidRPr="00AC06E0">
              <w:rPr>
                <w:sz w:val="22"/>
                <w:szCs w:val="22"/>
              </w:rPr>
              <w:t xml:space="preserve">The overall absence rate for all students being no more than </w:t>
            </w:r>
            <w:r w:rsidR="00D605FB" w:rsidRPr="00AC06E0">
              <w:rPr>
                <w:sz w:val="22"/>
                <w:szCs w:val="22"/>
              </w:rPr>
              <w:t>3</w:t>
            </w:r>
            <w:r w:rsidRPr="00AC06E0">
              <w:rPr>
                <w:sz w:val="22"/>
                <w:szCs w:val="22"/>
              </w:rPr>
              <w:t xml:space="preserve">% and </w:t>
            </w:r>
            <w:r w:rsidR="00CD168C" w:rsidRPr="00AC06E0">
              <w:rPr>
                <w:sz w:val="22"/>
                <w:szCs w:val="22"/>
              </w:rPr>
              <w:t>a reduction in the gap between disadvantaged and non-disadvantaged students</w:t>
            </w:r>
          </w:p>
          <w:p w14:paraId="2EAF8C75" w14:textId="647A062A" w:rsidR="00F64FB8" w:rsidRPr="00AC06E0" w:rsidRDefault="00F64FB8" w:rsidP="00D605FB">
            <w:pPr>
              <w:pStyle w:val="TableRowCentered"/>
              <w:numPr>
                <w:ilvl w:val="0"/>
                <w:numId w:val="18"/>
              </w:numPr>
              <w:jc w:val="left"/>
              <w:rPr>
                <w:sz w:val="22"/>
                <w:szCs w:val="22"/>
              </w:rPr>
            </w:pPr>
            <w:r w:rsidRPr="00AC06E0">
              <w:rPr>
                <w:sz w:val="22"/>
                <w:szCs w:val="22"/>
              </w:rPr>
              <w:t xml:space="preserve">The percentage of pupils who are persistently absent being below </w:t>
            </w:r>
            <w:r w:rsidR="00D605FB" w:rsidRPr="00AC06E0">
              <w:rPr>
                <w:sz w:val="22"/>
                <w:szCs w:val="22"/>
              </w:rPr>
              <w:t>8%</w:t>
            </w:r>
            <w:r w:rsidRPr="00AC06E0">
              <w:rPr>
                <w:sz w:val="22"/>
                <w:szCs w:val="22"/>
              </w:rPr>
              <w:t xml:space="preserve"> and </w:t>
            </w:r>
            <w:r w:rsidR="00CD168C" w:rsidRPr="00AC06E0">
              <w:rPr>
                <w:sz w:val="22"/>
                <w:szCs w:val="22"/>
              </w:rPr>
              <w:t xml:space="preserve">a reduction in the gap between </w:t>
            </w:r>
            <w:r w:rsidRPr="00AC06E0">
              <w:rPr>
                <w:sz w:val="22"/>
                <w:szCs w:val="22"/>
              </w:rPr>
              <w:t>disadvantaged</w:t>
            </w:r>
            <w:r w:rsidR="00CD168C" w:rsidRPr="00AC06E0">
              <w:rPr>
                <w:sz w:val="22"/>
                <w:szCs w:val="22"/>
              </w:rPr>
              <w:t xml:space="preserve"> and non-disadvantaged</w:t>
            </w:r>
            <w:r w:rsidRPr="00AC06E0">
              <w:rPr>
                <w:sz w:val="22"/>
                <w:szCs w:val="22"/>
              </w:rPr>
              <w:t xml:space="preserve"> students </w:t>
            </w:r>
          </w:p>
        </w:tc>
      </w:tr>
      <w:tr w:rsidR="00232385" w:rsidRPr="00AC06E0" w14:paraId="665E124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3DD39" w14:textId="67582F49" w:rsidR="00232385" w:rsidRPr="00AC06E0" w:rsidRDefault="00232385" w:rsidP="00232385">
            <w:pPr>
              <w:pStyle w:val="TableRow"/>
              <w:ind w:left="0"/>
              <w:rPr>
                <w:sz w:val="22"/>
                <w:szCs w:val="22"/>
              </w:rPr>
            </w:pPr>
            <w:r w:rsidRPr="00AC06E0">
              <w:rPr>
                <w:sz w:val="22"/>
                <w:szCs w:val="22"/>
              </w:rPr>
              <w:t>To support disadvantaged students to prepare for success in the wider world.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A34C4" w14:textId="4D774CBB" w:rsidR="00232385" w:rsidRPr="00AC06E0" w:rsidRDefault="00232385" w:rsidP="005E4259">
            <w:pPr>
              <w:pStyle w:val="TableRowCentered"/>
              <w:jc w:val="left"/>
              <w:rPr>
                <w:sz w:val="22"/>
                <w:szCs w:val="22"/>
              </w:rPr>
            </w:pPr>
            <w:r w:rsidRPr="00AC06E0">
              <w:rPr>
                <w:sz w:val="22"/>
                <w:szCs w:val="22"/>
              </w:rPr>
              <w:t>By the end of our current plan in 202</w:t>
            </w:r>
            <w:r w:rsidR="00DF7A20">
              <w:rPr>
                <w:sz w:val="22"/>
                <w:szCs w:val="22"/>
              </w:rPr>
              <w:t>3</w:t>
            </w:r>
            <w:r w:rsidRPr="00AC06E0">
              <w:rPr>
                <w:sz w:val="22"/>
                <w:szCs w:val="22"/>
              </w:rPr>
              <w:t>/2</w:t>
            </w:r>
            <w:r w:rsidR="00DF7A20">
              <w:rPr>
                <w:sz w:val="22"/>
                <w:szCs w:val="22"/>
              </w:rPr>
              <w:t>4</w:t>
            </w:r>
            <w:r w:rsidR="005E4259" w:rsidRPr="00AC06E0">
              <w:rPr>
                <w:sz w:val="22"/>
                <w:szCs w:val="22"/>
              </w:rPr>
              <w:t xml:space="preserve">, </w:t>
            </w:r>
            <w:r w:rsidRPr="00AC06E0">
              <w:rPr>
                <w:sz w:val="22"/>
                <w:szCs w:val="22"/>
              </w:rPr>
              <w:t>post-16 destinations data</w:t>
            </w:r>
            <w:r w:rsidR="005E4259" w:rsidRPr="00AC06E0">
              <w:rPr>
                <w:sz w:val="22"/>
                <w:szCs w:val="22"/>
              </w:rPr>
              <w:t xml:space="preserve"> will show an appropriate range of destinations comparable to those of non-disadvantaged students.</w:t>
            </w:r>
          </w:p>
          <w:p w14:paraId="12DA93A0" w14:textId="77777777" w:rsidR="00232385" w:rsidRPr="00AC06E0" w:rsidRDefault="00232385" w:rsidP="00F64FB8">
            <w:pPr>
              <w:pStyle w:val="TableRowCentered"/>
              <w:jc w:val="left"/>
              <w:rPr>
                <w:sz w:val="22"/>
                <w:szCs w:val="22"/>
              </w:rPr>
            </w:pP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4DF8B3F6" w:rsidR="00E66558" w:rsidRDefault="00D80330">
      <w:r>
        <w:t>Budgeted cost: £</w:t>
      </w:r>
      <w:r w:rsidR="00F94622">
        <w:t>69,784.50</w:t>
      </w:r>
    </w:p>
    <w:tbl>
      <w:tblPr>
        <w:tblW w:w="5000" w:type="pct"/>
        <w:tblCellMar>
          <w:left w:w="10" w:type="dxa"/>
          <w:right w:w="10" w:type="dxa"/>
        </w:tblCellMar>
        <w:tblLook w:val="04A0" w:firstRow="1" w:lastRow="0" w:firstColumn="1" w:lastColumn="0" w:noHBand="0" w:noVBand="1"/>
      </w:tblPr>
      <w:tblGrid>
        <w:gridCol w:w="2494"/>
        <w:gridCol w:w="4807"/>
        <w:gridCol w:w="2185"/>
      </w:tblGrid>
      <w:tr w:rsidR="00E66558" w:rsidRPr="00AC06E0"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AC06E0" w:rsidRDefault="009D71E8">
            <w:pPr>
              <w:pStyle w:val="TableHeader"/>
              <w:jc w:val="left"/>
              <w:rPr>
                <w:sz w:val="22"/>
                <w:szCs w:val="22"/>
              </w:rPr>
            </w:pPr>
            <w:r w:rsidRPr="00AC06E0">
              <w:rPr>
                <w:sz w:val="22"/>
                <w:szCs w:val="22"/>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AC06E0" w:rsidRDefault="009D71E8">
            <w:pPr>
              <w:pStyle w:val="TableHeader"/>
              <w:jc w:val="left"/>
              <w:rPr>
                <w:sz w:val="22"/>
                <w:szCs w:val="22"/>
              </w:rPr>
            </w:pPr>
            <w:r w:rsidRPr="00AC06E0">
              <w:rPr>
                <w:sz w:val="22"/>
                <w:szCs w:val="22"/>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AC06E0" w:rsidRDefault="009D71E8">
            <w:pPr>
              <w:pStyle w:val="TableHeader"/>
              <w:jc w:val="left"/>
              <w:rPr>
                <w:sz w:val="22"/>
                <w:szCs w:val="22"/>
              </w:rPr>
            </w:pPr>
            <w:r w:rsidRPr="00AC06E0">
              <w:rPr>
                <w:sz w:val="22"/>
                <w:szCs w:val="22"/>
              </w:rPr>
              <w:t>Challenge number(s) addressed</w:t>
            </w:r>
          </w:p>
        </w:tc>
      </w:tr>
      <w:tr w:rsidR="00E66558" w:rsidRPr="00AC06E0" w14:paraId="2A7D5521" w14:textId="77777777" w:rsidTr="009E6F48">
        <w:trPr>
          <w:trHeight w:val="5145"/>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4A3FF" w14:textId="77777777" w:rsidR="005E3C92" w:rsidRPr="005E3C92" w:rsidRDefault="005E3C92" w:rsidP="005E3C92">
            <w:pPr>
              <w:pStyle w:val="TableRow"/>
              <w:rPr>
                <w:iCs/>
                <w:sz w:val="22"/>
                <w:szCs w:val="22"/>
              </w:rPr>
            </w:pPr>
            <w:r w:rsidRPr="005E3C92">
              <w:rPr>
                <w:iCs/>
                <w:sz w:val="22"/>
                <w:szCs w:val="22"/>
              </w:rPr>
              <w:t xml:space="preserve">Developing high quality teaching, assessment and a curriculum which </w:t>
            </w:r>
          </w:p>
          <w:p w14:paraId="757C46C4" w14:textId="593439C3" w:rsidR="005E3C92" w:rsidRDefault="005E3C92" w:rsidP="005E3C92">
            <w:pPr>
              <w:pStyle w:val="TableRow"/>
              <w:rPr>
                <w:iCs/>
                <w:sz w:val="22"/>
                <w:szCs w:val="22"/>
              </w:rPr>
            </w:pPr>
            <w:r w:rsidRPr="005E3C92">
              <w:rPr>
                <w:iCs/>
                <w:sz w:val="22"/>
                <w:szCs w:val="22"/>
              </w:rPr>
              <w:t>responds to the needs of pupils</w:t>
            </w:r>
          </w:p>
          <w:p w14:paraId="0BA4FF0B" w14:textId="45CD7131" w:rsidR="005F5153" w:rsidRDefault="005F5153" w:rsidP="005C16E3">
            <w:pPr>
              <w:pStyle w:val="TableRow"/>
              <w:rPr>
                <w:iCs/>
                <w:sz w:val="22"/>
                <w:szCs w:val="22"/>
              </w:rPr>
            </w:pPr>
            <w:r>
              <w:rPr>
                <w:iCs/>
                <w:sz w:val="22"/>
                <w:szCs w:val="22"/>
              </w:rPr>
              <w:t xml:space="preserve">Whole school teaching and learning focus on addressing socio-economic disadvantage. </w:t>
            </w:r>
          </w:p>
          <w:p w14:paraId="1E918402" w14:textId="0ED211A4" w:rsidR="005F5153" w:rsidRDefault="005F5153" w:rsidP="005C16E3">
            <w:pPr>
              <w:pStyle w:val="TableRow"/>
              <w:rPr>
                <w:iCs/>
                <w:sz w:val="22"/>
                <w:szCs w:val="22"/>
              </w:rPr>
            </w:pPr>
            <w:r>
              <w:rPr>
                <w:iCs/>
                <w:sz w:val="22"/>
                <w:szCs w:val="22"/>
              </w:rPr>
              <w:t>Specific focus on:</w:t>
            </w:r>
          </w:p>
          <w:p w14:paraId="2BFB745B" w14:textId="3DF71964" w:rsidR="005F5153" w:rsidRDefault="005F5153" w:rsidP="005F5153">
            <w:pPr>
              <w:pStyle w:val="TableRow"/>
              <w:numPr>
                <w:ilvl w:val="0"/>
                <w:numId w:val="20"/>
              </w:numPr>
              <w:rPr>
                <w:iCs/>
                <w:sz w:val="22"/>
                <w:szCs w:val="22"/>
              </w:rPr>
            </w:pPr>
            <w:r>
              <w:rPr>
                <w:iCs/>
                <w:sz w:val="22"/>
                <w:szCs w:val="22"/>
              </w:rPr>
              <w:t>Metacognition</w:t>
            </w:r>
          </w:p>
          <w:p w14:paraId="4B95E65F" w14:textId="09CC8EFD" w:rsidR="005F5153" w:rsidRDefault="005F5153" w:rsidP="005F5153">
            <w:pPr>
              <w:pStyle w:val="TableRow"/>
              <w:numPr>
                <w:ilvl w:val="0"/>
                <w:numId w:val="20"/>
              </w:numPr>
              <w:rPr>
                <w:iCs/>
                <w:sz w:val="22"/>
                <w:szCs w:val="22"/>
              </w:rPr>
            </w:pPr>
            <w:r>
              <w:rPr>
                <w:iCs/>
                <w:sz w:val="22"/>
                <w:szCs w:val="22"/>
              </w:rPr>
              <w:t>Reading strategies</w:t>
            </w:r>
          </w:p>
          <w:p w14:paraId="07962C0C" w14:textId="2F61F1A2" w:rsidR="005F5153" w:rsidRDefault="005F5153" w:rsidP="005F5153">
            <w:pPr>
              <w:pStyle w:val="TableRow"/>
              <w:numPr>
                <w:ilvl w:val="0"/>
                <w:numId w:val="20"/>
              </w:numPr>
              <w:rPr>
                <w:iCs/>
                <w:sz w:val="22"/>
                <w:szCs w:val="22"/>
              </w:rPr>
            </w:pPr>
            <w:r>
              <w:rPr>
                <w:iCs/>
                <w:sz w:val="22"/>
                <w:szCs w:val="22"/>
              </w:rPr>
              <w:t>Self-regulation</w:t>
            </w:r>
          </w:p>
          <w:p w14:paraId="6CF633BB" w14:textId="77777777" w:rsidR="005F5153" w:rsidRDefault="005F5153" w:rsidP="005F5153">
            <w:pPr>
              <w:pStyle w:val="TableRow"/>
              <w:rPr>
                <w:iCs/>
                <w:sz w:val="22"/>
                <w:szCs w:val="22"/>
              </w:rPr>
            </w:pPr>
          </w:p>
          <w:p w14:paraId="4BD46C20" w14:textId="77777777" w:rsidR="00676080" w:rsidRDefault="005F5153" w:rsidP="009E6F48">
            <w:pPr>
              <w:pStyle w:val="TableRow"/>
              <w:rPr>
                <w:iCs/>
                <w:sz w:val="22"/>
                <w:szCs w:val="22"/>
              </w:rPr>
            </w:pPr>
            <w:r w:rsidRPr="00AC06E0">
              <w:rPr>
                <w:iCs/>
                <w:sz w:val="22"/>
                <w:szCs w:val="22"/>
              </w:rPr>
              <w:t xml:space="preserve">Each </w:t>
            </w:r>
            <w:r w:rsidR="00754C6D">
              <w:rPr>
                <w:iCs/>
                <w:sz w:val="22"/>
                <w:szCs w:val="22"/>
              </w:rPr>
              <w:t xml:space="preserve">teaching </w:t>
            </w:r>
            <w:r w:rsidRPr="00AC06E0">
              <w:rPr>
                <w:iCs/>
                <w:sz w:val="22"/>
                <w:szCs w:val="22"/>
              </w:rPr>
              <w:t xml:space="preserve">department will </w:t>
            </w:r>
            <w:r w:rsidR="00754C6D">
              <w:rPr>
                <w:iCs/>
                <w:sz w:val="22"/>
                <w:szCs w:val="22"/>
              </w:rPr>
              <w:t>embed</w:t>
            </w:r>
            <w:r w:rsidRPr="00AC06E0">
              <w:rPr>
                <w:iCs/>
                <w:sz w:val="22"/>
                <w:szCs w:val="22"/>
              </w:rPr>
              <w:t xml:space="preserve"> subject-specific strategies to support disadvantaged students.</w:t>
            </w:r>
          </w:p>
          <w:p w14:paraId="0A9FB231" w14:textId="77777777" w:rsidR="00012C2E" w:rsidRDefault="00012C2E" w:rsidP="009E6F48">
            <w:pPr>
              <w:pStyle w:val="TableRow"/>
              <w:rPr>
                <w:iCs/>
                <w:sz w:val="22"/>
                <w:szCs w:val="22"/>
              </w:rPr>
            </w:pPr>
          </w:p>
          <w:p w14:paraId="2A7D551E" w14:textId="30C571AE" w:rsidR="00012C2E" w:rsidRPr="00AC06E0" w:rsidRDefault="00012C2E" w:rsidP="009E6F48">
            <w:pPr>
              <w:pStyle w:val="TableRow"/>
              <w:rPr>
                <w:iCs/>
                <w:sz w:val="22"/>
                <w:szCs w:val="22"/>
              </w:rPr>
            </w:pPr>
            <w:r>
              <w:rPr>
                <w:iCs/>
                <w:sz w:val="22"/>
                <w:szCs w:val="22"/>
              </w:rPr>
              <w:t>Regular review of effectiveness of curricular provision for disadvantaged students through bi-weekly Attainment and Inclusion meetings.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9788C" w14:textId="73769122" w:rsidR="00CF03F8" w:rsidRPr="00AC06E0" w:rsidRDefault="005E3C92" w:rsidP="005F5153">
            <w:pPr>
              <w:pStyle w:val="TableRowCentered"/>
              <w:ind w:left="0"/>
              <w:jc w:val="left"/>
              <w:rPr>
                <w:sz w:val="22"/>
                <w:szCs w:val="22"/>
              </w:rPr>
            </w:pPr>
            <w:r>
              <w:rPr>
                <w:sz w:val="22"/>
                <w:szCs w:val="22"/>
              </w:rPr>
              <w:t xml:space="preserve">Continuous </w:t>
            </w:r>
            <w:r w:rsidRPr="005E3C92">
              <w:rPr>
                <w:sz w:val="22"/>
                <w:szCs w:val="22"/>
              </w:rPr>
              <w:t xml:space="preserve">Professional development </w:t>
            </w:r>
            <w:r>
              <w:rPr>
                <w:sz w:val="22"/>
                <w:szCs w:val="22"/>
              </w:rPr>
              <w:t xml:space="preserve">draws on </w:t>
            </w:r>
            <w:r w:rsidRPr="005E3C92">
              <w:rPr>
                <w:sz w:val="22"/>
                <w:szCs w:val="22"/>
              </w:rPr>
              <w:t>evidence-based approaches</w:t>
            </w:r>
            <w:r w:rsidR="00754C6D">
              <w:rPr>
                <w:sz w:val="22"/>
                <w:szCs w:val="22"/>
              </w:rPr>
              <w:t xml:space="preserve">, including research from </w:t>
            </w:r>
            <w:r w:rsidR="00CF03F8" w:rsidRPr="00AC06E0">
              <w:rPr>
                <w:sz w:val="22"/>
                <w:szCs w:val="22"/>
              </w:rPr>
              <w:t>the E</w:t>
            </w:r>
            <w:r w:rsidR="00754C6D">
              <w:rPr>
                <w:sz w:val="22"/>
                <w:szCs w:val="22"/>
              </w:rPr>
              <w:t xml:space="preserve">ducation </w:t>
            </w:r>
            <w:r w:rsidR="00CF03F8" w:rsidRPr="00AC06E0">
              <w:rPr>
                <w:sz w:val="22"/>
                <w:szCs w:val="22"/>
              </w:rPr>
              <w:t>E</w:t>
            </w:r>
            <w:r w:rsidR="00754C6D">
              <w:rPr>
                <w:sz w:val="22"/>
                <w:szCs w:val="22"/>
              </w:rPr>
              <w:t xml:space="preserve">ndowment </w:t>
            </w:r>
            <w:r w:rsidR="00CF03F8" w:rsidRPr="00AC06E0">
              <w:rPr>
                <w:sz w:val="22"/>
                <w:szCs w:val="22"/>
              </w:rPr>
              <w:t>F</w:t>
            </w:r>
            <w:r w:rsidR="00754C6D">
              <w:rPr>
                <w:sz w:val="22"/>
                <w:szCs w:val="22"/>
              </w:rPr>
              <w:t>und</w:t>
            </w:r>
            <w:r w:rsidR="005F5153">
              <w:rPr>
                <w:sz w:val="22"/>
                <w:szCs w:val="22"/>
              </w:rPr>
              <w:t xml:space="preserve">, </w:t>
            </w:r>
            <w:r>
              <w:rPr>
                <w:sz w:val="22"/>
                <w:szCs w:val="22"/>
              </w:rPr>
              <w:t xml:space="preserve">which has been </w:t>
            </w:r>
            <w:r w:rsidR="00CF03F8" w:rsidRPr="00AC06E0">
              <w:rPr>
                <w:sz w:val="22"/>
                <w:szCs w:val="22"/>
              </w:rPr>
              <w:t xml:space="preserve">carefully selected to be appropriate for our setting and for our disadvantaged students. </w:t>
            </w:r>
          </w:p>
          <w:p w14:paraId="4B17A3A8" w14:textId="475F8D11" w:rsidR="004C0ECD" w:rsidRPr="00754C6D" w:rsidRDefault="004024A1" w:rsidP="00A62405">
            <w:pPr>
              <w:pStyle w:val="TableRowCentered"/>
              <w:ind w:left="0"/>
              <w:jc w:val="left"/>
              <w:rPr>
                <w:sz w:val="18"/>
                <w:szCs w:val="18"/>
              </w:rPr>
            </w:pPr>
            <w:hyperlink r:id="rId7" w:history="1">
              <w:r w:rsidR="005F5153" w:rsidRPr="00754C6D">
                <w:rPr>
                  <w:rStyle w:val="Hyperlink"/>
                  <w:sz w:val="18"/>
                  <w:szCs w:val="18"/>
                </w:rPr>
                <w:t>https://educationendowmentfoundation.org.uk/education-evidence/teaching-learning-toolkit/reading-comprehension-strategies</w:t>
              </w:r>
            </w:hyperlink>
          </w:p>
          <w:p w14:paraId="37B3A635" w14:textId="5CD7C196" w:rsidR="00754C6D" w:rsidRPr="00754C6D" w:rsidRDefault="004024A1" w:rsidP="00A62405">
            <w:pPr>
              <w:pStyle w:val="TableRowCentered"/>
              <w:ind w:left="0"/>
              <w:jc w:val="left"/>
              <w:rPr>
                <w:sz w:val="18"/>
                <w:szCs w:val="18"/>
              </w:rPr>
            </w:pPr>
            <w:hyperlink r:id="rId8" w:history="1">
              <w:r w:rsidR="00754C6D" w:rsidRPr="00754C6D">
                <w:rPr>
                  <w:rStyle w:val="Hyperlink"/>
                  <w:sz w:val="18"/>
                  <w:szCs w:val="18"/>
                </w:rPr>
                <w:t>https://educationendowmentfoundation.org.uk/education-evidence/guidance-reports/metacognition</w:t>
              </w:r>
            </w:hyperlink>
          </w:p>
          <w:p w14:paraId="5C2A7441" w14:textId="262CA6F3" w:rsidR="00754C6D" w:rsidRPr="00754C6D" w:rsidRDefault="004024A1" w:rsidP="00A62405">
            <w:pPr>
              <w:pStyle w:val="TableRowCentered"/>
              <w:ind w:left="0"/>
              <w:jc w:val="left"/>
              <w:rPr>
                <w:sz w:val="18"/>
                <w:szCs w:val="18"/>
              </w:rPr>
            </w:pPr>
            <w:hyperlink r:id="rId9" w:history="1">
              <w:r w:rsidR="00754C6D" w:rsidRPr="00754C6D">
                <w:rPr>
                  <w:rStyle w:val="Hyperlink"/>
                  <w:sz w:val="18"/>
                  <w:szCs w:val="18"/>
                </w:rPr>
                <w:t>https://www.ncbi.nlm.nih.gov/pmc/articles/PMC4682347/</w:t>
              </w:r>
            </w:hyperlink>
          </w:p>
          <w:p w14:paraId="782E0445" w14:textId="77D98E33" w:rsidR="001B2B17" w:rsidRPr="00AC06E0" w:rsidRDefault="001B2B17" w:rsidP="00CF03F8">
            <w:pPr>
              <w:pStyle w:val="TableRowCentered"/>
              <w:jc w:val="left"/>
              <w:rPr>
                <w:sz w:val="22"/>
                <w:szCs w:val="22"/>
              </w:rPr>
            </w:pPr>
          </w:p>
          <w:p w14:paraId="2B7AA038" w14:textId="44317638" w:rsidR="001B2B17" w:rsidRPr="00AC06E0" w:rsidRDefault="005B135D" w:rsidP="00A62405">
            <w:pPr>
              <w:pStyle w:val="TableRowCentered"/>
              <w:ind w:left="0"/>
              <w:jc w:val="left"/>
              <w:rPr>
                <w:sz w:val="22"/>
                <w:szCs w:val="22"/>
              </w:rPr>
            </w:pPr>
            <w:r w:rsidRPr="00AC06E0">
              <w:rPr>
                <w:sz w:val="22"/>
                <w:szCs w:val="22"/>
              </w:rPr>
              <w:t>Our w</w:t>
            </w:r>
            <w:r w:rsidR="001B2B17" w:rsidRPr="00AC06E0">
              <w:rPr>
                <w:sz w:val="22"/>
                <w:szCs w:val="22"/>
              </w:rPr>
              <w:t>hole school performance objective</w:t>
            </w:r>
            <w:r w:rsidRPr="00AC06E0">
              <w:rPr>
                <w:sz w:val="22"/>
                <w:szCs w:val="22"/>
              </w:rPr>
              <w:t xml:space="preserve"> for 202</w:t>
            </w:r>
            <w:r w:rsidR="00754C6D">
              <w:rPr>
                <w:sz w:val="22"/>
                <w:szCs w:val="22"/>
              </w:rPr>
              <w:t>2</w:t>
            </w:r>
            <w:r w:rsidRPr="00AC06E0">
              <w:rPr>
                <w:sz w:val="22"/>
                <w:szCs w:val="22"/>
              </w:rPr>
              <w:t>/</w:t>
            </w:r>
            <w:r w:rsidR="00754C6D">
              <w:rPr>
                <w:sz w:val="22"/>
                <w:szCs w:val="22"/>
              </w:rPr>
              <w:t>3</w:t>
            </w:r>
            <w:r w:rsidRPr="00AC06E0">
              <w:rPr>
                <w:sz w:val="22"/>
                <w:szCs w:val="22"/>
              </w:rPr>
              <w:t xml:space="preserve"> includes all staff and prioritises the progress of disadvantaged students</w:t>
            </w:r>
            <w:r w:rsidR="001B2B17" w:rsidRPr="00AC06E0">
              <w:rPr>
                <w:sz w:val="22"/>
                <w:szCs w:val="22"/>
              </w:rPr>
              <w:t xml:space="preserve">: </w:t>
            </w:r>
          </w:p>
          <w:p w14:paraId="2A7D551F" w14:textId="12CC44A4" w:rsidR="00CF03F8" w:rsidRPr="00AC06E0" w:rsidRDefault="00754C6D" w:rsidP="00CC0B91">
            <w:pPr>
              <w:pStyle w:val="TableRowCentered"/>
              <w:jc w:val="left"/>
              <w:rPr>
                <w:i/>
                <w:sz w:val="22"/>
                <w:szCs w:val="22"/>
              </w:rPr>
            </w:pPr>
            <w:r w:rsidRPr="00754C6D">
              <w:rPr>
                <w:i/>
                <w:sz w:val="22"/>
                <w:szCs w:val="22"/>
              </w:rPr>
              <w:t>To implement strategies to enable pupils, especially vulnerable pupils, to make exceptional academic progress in line with whole school performance targets.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65A01B08" w:rsidR="00E66558" w:rsidRPr="00AC06E0" w:rsidRDefault="00A0732A">
            <w:pPr>
              <w:pStyle w:val="TableRowCentered"/>
              <w:jc w:val="left"/>
              <w:rPr>
                <w:sz w:val="22"/>
                <w:szCs w:val="22"/>
              </w:rPr>
            </w:pPr>
            <w:r w:rsidRPr="00AC06E0">
              <w:rPr>
                <w:sz w:val="22"/>
                <w:szCs w:val="22"/>
              </w:rPr>
              <w:t>1,2,3</w:t>
            </w:r>
            <w:r w:rsidR="001B2B17" w:rsidRPr="00AC06E0">
              <w:rPr>
                <w:sz w:val="22"/>
                <w:szCs w:val="22"/>
              </w:rPr>
              <w:t>,4,5</w:t>
            </w:r>
          </w:p>
        </w:tc>
      </w:tr>
      <w:tr w:rsidR="00A22E48" w:rsidRPr="00AC06E0" w14:paraId="0FD8864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21991" w14:textId="1AFB7B46" w:rsidR="00A22E48" w:rsidRPr="00AC06E0" w:rsidRDefault="000461A4" w:rsidP="00323A8C">
            <w:pPr>
              <w:pStyle w:val="TableRow"/>
              <w:rPr>
                <w:iCs/>
                <w:sz w:val="22"/>
                <w:szCs w:val="22"/>
              </w:rPr>
            </w:pPr>
            <w:r w:rsidRPr="00AC06E0">
              <w:rPr>
                <w:iCs/>
                <w:sz w:val="22"/>
                <w:szCs w:val="22"/>
              </w:rPr>
              <w:t>The promotion of reading across the school, including disadvantaged students</w:t>
            </w:r>
            <w:r w:rsidR="00CB338E" w:rsidRPr="00AC06E0">
              <w:rPr>
                <w:iCs/>
                <w:sz w:val="22"/>
                <w:szCs w:val="22"/>
              </w:rPr>
              <w:t>, as a key strategy to support language development and comprehension.</w:t>
            </w:r>
          </w:p>
          <w:p w14:paraId="3C9D719B" w14:textId="19FF1796" w:rsidR="000461A4" w:rsidRPr="00AC06E0" w:rsidRDefault="000461A4" w:rsidP="000461A4">
            <w:pPr>
              <w:pStyle w:val="TableRow"/>
              <w:numPr>
                <w:ilvl w:val="0"/>
                <w:numId w:val="20"/>
              </w:numPr>
              <w:rPr>
                <w:iCs/>
                <w:sz w:val="22"/>
                <w:szCs w:val="22"/>
              </w:rPr>
            </w:pPr>
            <w:r w:rsidRPr="00AC06E0">
              <w:rPr>
                <w:iCs/>
                <w:sz w:val="22"/>
                <w:szCs w:val="22"/>
              </w:rPr>
              <w:t>Development of the school library, including access to e-books</w:t>
            </w:r>
          </w:p>
          <w:p w14:paraId="005F5BF6" w14:textId="75B2AE8B" w:rsidR="000461A4" w:rsidRPr="00AC06E0" w:rsidRDefault="000461A4" w:rsidP="000461A4">
            <w:pPr>
              <w:pStyle w:val="TableRow"/>
              <w:numPr>
                <w:ilvl w:val="0"/>
                <w:numId w:val="20"/>
              </w:numPr>
              <w:rPr>
                <w:iCs/>
                <w:sz w:val="22"/>
                <w:szCs w:val="22"/>
              </w:rPr>
            </w:pPr>
            <w:r w:rsidRPr="00AC06E0">
              <w:rPr>
                <w:iCs/>
                <w:sz w:val="22"/>
                <w:szCs w:val="22"/>
              </w:rPr>
              <w:t xml:space="preserve">Consistent use of form time for private </w:t>
            </w:r>
            <w:r w:rsidR="00517E50">
              <w:rPr>
                <w:iCs/>
                <w:sz w:val="22"/>
                <w:szCs w:val="22"/>
              </w:rPr>
              <w:t xml:space="preserve">and/or shared </w:t>
            </w:r>
            <w:r w:rsidRPr="00AC06E0">
              <w:rPr>
                <w:iCs/>
                <w:sz w:val="22"/>
                <w:szCs w:val="22"/>
              </w:rPr>
              <w:t xml:space="preserve">reading </w:t>
            </w:r>
          </w:p>
          <w:p w14:paraId="65578AC9" w14:textId="77777777" w:rsidR="000461A4" w:rsidRPr="00AC06E0" w:rsidRDefault="000461A4" w:rsidP="000461A4">
            <w:pPr>
              <w:pStyle w:val="TableRow"/>
              <w:numPr>
                <w:ilvl w:val="0"/>
                <w:numId w:val="20"/>
              </w:numPr>
              <w:rPr>
                <w:iCs/>
                <w:sz w:val="22"/>
                <w:szCs w:val="22"/>
              </w:rPr>
            </w:pPr>
            <w:r w:rsidRPr="00AC06E0">
              <w:rPr>
                <w:iCs/>
                <w:sz w:val="22"/>
                <w:szCs w:val="22"/>
              </w:rPr>
              <w:t xml:space="preserve">Develop a team of KS5 Literacy Leaders (Reading Champions) </w:t>
            </w:r>
          </w:p>
          <w:p w14:paraId="0D1E9A6B" w14:textId="3CA1CCA6" w:rsidR="001B2B17" w:rsidRPr="009E6F48" w:rsidRDefault="000461A4" w:rsidP="009E6F48">
            <w:pPr>
              <w:pStyle w:val="TableRow"/>
              <w:numPr>
                <w:ilvl w:val="0"/>
                <w:numId w:val="20"/>
              </w:numPr>
              <w:rPr>
                <w:iCs/>
                <w:sz w:val="22"/>
                <w:szCs w:val="22"/>
              </w:rPr>
            </w:pPr>
            <w:r w:rsidRPr="00AC06E0">
              <w:rPr>
                <w:iCs/>
                <w:sz w:val="22"/>
                <w:szCs w:val="22"/>
              </w:rPr>
              <w:t xml:space="preserve">Run themed reading activities </w:t>
            </w:r>
            <w:r w:rsidR="00517E50">
              <w:rPr>
                <w:iCs/>
                <w:sz w:val="22"/>
                <w:szCs w:val="22"/>
              </w:rPr>
              <w:t xml:space="preserve">and competitions </w:t>
            </w:r>
            <w:r w:rsidRPr="00AC06E0">
              <w:rPr>
                <w:iCs/>
                <w:sz w:val="22"/>
                <w:szCs w:val="22"/>
              </w:rPr>
              <w:t>throughout the year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0977B" w14:textId="79CCDA75" w:rsidR="00754C6D" w:rsidRPr="00754C6D" w:rsidRDefault="00754C6D" w:rsidP="00754C6D">
            <w:pPr>
              <w:suppressAutoHyphens w:val="0"/>
              <w:autoSpaceDN/>
              <w:spacing w:before="60" w:after="60" w:line="240" w:lineRule="auto"/>
              <w:ind w:left="57" w:right="57"/>
              <w:rPr>
                <w:rFonts w:cs="Arial"/>
                <w:color w:val="auto"/>
                <w:sz w:val="22"/>
                <w:szCs w:val="22"/>
              </w:rPr>
            </w:pPr>
            <w:r w:rsidRPr="00754C6D">
              <w:rPr>
                <w:rFonts w:cs="Arial"/>
                <w:color w:val="auto"/>
                <w:sz w:val="22"/>
                <w:szCs w:val="22"/>
              </w:rPr>
              <w:t>There is a growing body of evidence which illustrates the importance of reading for plea</w:t>
            </w:r>
            <w:r>
              <w:rPr>
                <w:rFonts w:cs="Arial"/>
                <w:color w:val="auto"/>
                <w:sz w:val="22"/>
                <w:szCs w:val="22"/>
              </w:rPr>
              <w:t>s</w:t>
            </w:r>
            <w:r w:rsidRPr="00754C6D">
              <w:rPr>
                <w:rFonts w:cs="Arial"/>
                <w:color w:val="auto"/>
                <w:sz w:val="22"/>
                <w:szCs w:val="22"/>
              </w:rPr>
              <w:t>ure for both educational purposes as well as personal</w:t>
            </w:r>
            <w:r>
              <w:rPr>
                <w:rFonts w:cs="Arial"/>
                <w:color w:val="auto"/>
                <w:sz w:val="22"/>
                <w:szCs w:val="22"/>
              </w:rPr>
              <w:t xml:space="preserve"> </w:t>
            </w:r>
            <w:r w:rsidRPr="00754C6D">
              <w:rPr>
                <w:rFonts w:cs="Arial"/>
                <w:color w:val="auto"/>
                <w:sz w:val="22"/>
                <w:szCs w:val="22"/>
              </w:rPr>
              <w:t>development. Reading enjoyment has been reported as more important for children’s</w:t>
            </w:r>
            <w:r>
              <w:rPr>
                <w:rFonts w:cs="Arial"/>
                <w:color w:val="auto"/>
                <w:sz w:val="22"/>
                <w:szCs w:val="22"/>
              </w:rPr>
              <w:t xml:space="preserve"> </w:t>
            </w:r>
            <w:r w:rsidRPr="00754C6D">
              <w:rPr>
                <w:rFonts w:cs="Arial"/>
                <w:color w:val="auto"/>
                <w:sz w:val="22"/>
                <w:szCs w:val="22"/>
              </w:rPr>
              <w:t>educational success than their family’s socio-economic status (OECD,</w:t>
            </w:r>
          </w:p>
          <w:p w14:paraId="1ED6E930" w14:textId="781020AC" w:rsidR="000461A4" w:rsidRPr="00AC06E0" w:rsidRDefault="00754C6D" w:rsidP="00754C6D">
            <w:pPr>
              <w:suppressAutoHyphens w:val="0"/>
              <w:autoSpaceDN/>
              <w:spacing w:before="60" w:after="60" w:line="240" w:lineRule="auto"/>
              <w:ind w:left="57" w:right="57"/>
              <w:rPr>
                <w:rFonts w:cs="Arial"/>
                <w:color w:val="auto"/>
                <w:sz w:val="22"/>
                <w:szCs w:val="22"/>
              </w:rPr>
            </w:pPr>
            <w:r w:rsidRPr="00754C6D">
              <w:rPr>
                <w:rFonts w:cs="Arial"/>
                <w:color w:val="auto"/>
                <w:sz w:val="22"/>
                <w:szCs w:val="22"/>
              </w:rPr>
              <w:t>2002).</w:t>
            </w:r>
          </w:p>
          <w:p w14:paraId="43564E09" w14:textId="619AA412" w:rsidR="000461A4" w:rsidRPr="00517E50" w:rsidRDefault="004024A1" w:rsidP="000461A4">
            <w:pPr>
              <w:suppressAutoHyphens w:val="0"/>
              <w:autoSpaceDN/>
              <w:spacing w:before="60" w:after="60" w:line="240" w:lineRule="auto"/>
              <w:ind w:left="57" w:right="57"/>
              <w:rPr>
                <w:rFonts w:cs="Arial"/>
                <w:color w:val="auto"/>
                <w:sz w:val="18"/>
                <w:szCs w:val="18"/>
              </w:rPr>
            </w:pPr>
            <w:hyperlink r:id="rId10" w:history="1">
              <w:r w:rsidR="000461A4" w:rsidRPr="00517E50">
                <w:rPr>
                  <w:rStyle w:val="Hyperlink"/>
                  <w:rFonts w:cs="Arial"/>
                  <w:sz w:val="18"/>
                  <w:szCs w:val="18"/>
                </w:rPr>
                <w:t>https://assets.publishing.service.gov.uk/government/uploads/system/uploads/attachment_data/file/284286/reading_for_pleasure.pdf</w:t>
              </w:r>
            </w:hyperlink>
          </w:p>
          <w:p w14:paraId="4BF0F42C" w14:textId="77777777" w:rsidR="00517E50" w:rsidRDefault="00517E50" w:rsidP="00517E50">
            <w:pPr>
              <w:suppressAutoHyphens w:val="0"/>
              <w:autoSpaceDN/>
              <w:spacing w:before="60" w:after="60" w:line="240" w:lineRule="auto"/>
              <w:ind w:right="57"/>
              <w:rPr>
                <w:rFonts w:cs="Arial"/>
                <w:color w:val="auto"/>
                <w:sz w:val="22"/>
                <w:szCs w:val="22"/>
              </w:rPr>
            </w:pPr>
          </w:p>
          <w:p w14:paraId="194C0818" w14:textId="063575B2" w:rsidR="000461A4" w:rsidRPr="00AC06E0" w:rsidRDefault="000461A4" w:rsidP="00517E50">
            <w:pPr>
              <w:suppressAutoHyphens w:val="0"/>
              <w:autoSpaceDN/>
              <w:spacing w:before="60" w:after="60" w:line="240" w:lineRule="auto"/>
              <w:ind w:right="57"/>
              <w:rPr>
                <w:rFonts w:cs="Arial"/>
                <w:color w:val="auto"/>
                <w:sz w:val="22"/>
                <w:szCs w:val="22"/>
              </w:rPr>
            </w:pPr>
            <w:r w:rsidRPr="00AC06E0">
              <w:rPr>
                <w:rFonts w:cs="Arial"/>
                <w:color w:val="auto"/>
                <w:sz w:val="22"/>
                <w:szCs w:val="22"/>
              </w:rPr>
              <w:t>Reading comprehension, vocabulary and other literacy skills are heavily linked with attainment in maths and English:</w:t>
            </w:r>
          </w:p>
          <w:p w14:paraId="6A16BFCE" w14:textId="14DF3D44" w:rsidR="00A22E48" w:rsidRPr="00517E50" w:rsidRDefault="004024A1" w:rsidP="000461A4">
            <w:pPr>
              <w:pStyle w:val="TableRowCentered"/>
              <w:jc w:val="left"/>
              <w:rPr>
                <w:sz w:val="18"/>
                <w:szCs w:val="18"/>
              </w:rPr>
            </w:pPr>
            <w:hyperlink r:id="rId11" w:history="1">
              <w:r w:rsidR="000461A4" w:rsidRPr="00517E50">
                <w:rPr>
                  <w:color w:val="0070C0"/>
                  <w:sz w:val="18"/>
                  <w:szCs w:val="18"/>
                  <w:u w:val="single"/>
                </w:rPr>
                <w:t>word-gap.pdf (oup.com.cn)</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91FE0" w14:textId="5C7611FF" w:rsidR="00A22E48" w:rsidRPr="00AC06E0" w:rsidRDefault="004A15DB" w:rsidP="00A0732A">
            <w:pPr>
              <w:pStyle w:val="TableRowCentered"/>
              <w:ind w:left="0"/>
              <w:jc w:val="left"/>
              <w:rPr>
                <w:sz w:val="22"/>
                <w:szCs w:val="22"/>
              </w:rPr>
            </w:pPr>
            <w:r>
              <w:rPr>
                <w:sz w:val="22"/>
                <w:szCs w:val="22"/>
              </w:rPr>
              <w:t xml:space="preserve">1, </w:t>
            </w:r>
            <w:r w:rsidR="001B2B17" w:rsidRPr="00AC06E0">
              <w:rPr>
                <w:sz w:val="22"/>
                <w:szCs w:val="22"/>
              </w:rPr>
              <w:t>2</w:t>
            </w:r>
            <w:r>
              <w:rPr>
                <w:sz w:val="22"/>
                <w:szCs w:val="22"/>
              </w:rPr>
              <w:t>, 3, 4</w:t>
            </w:r>
          </w:p>
        </w:tc>
      </w:tr>
      <w:tr w:rsidR="00754C6D" w:rsidRPr="00AC06E0" w14:paraId="016E14F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74C78" w14:textId="77777777" w:rsidR="00754C6D" w:rsidRDefault="00517E50" w:rsidP="00323A8C">
            <w:pPr>
              <w:pStyle w:val="TableRow"/>
              <w:rPr>
                <w:iCs/>
                <w:sz w:val="22"/>
                <w:szCs w:val="22"/>
              </w:rPr>
            </w:pPr>
            <w:r>
              <w:rPr>
                <w:iCs/>
                <w:sz w:val="22"/>
                <w:szCs w:val="22"/>
              </w:rPr>
              <w:t>Development of EAL provision to support disadvantaged students, particularly refugee children.</w:t>
            </w:r>
          </w:p>
          <w:p w14:paraId="423F97A5" w14:textId="41080B8F" w:rsidR="00517E50" w:rsidRDefault="00517E50" w:rsidP="00517E50">
            <w:pPr>
              <w:pStyle w:val="TableRow"/>
              <w:numPr>
                <w:ilvl w:val="0"/>
                <w:numId w:val="20"/>
              </w:numPr>
              <w:rPr>
                <w:iCs/>
                <w:sz w:val="22"/>
                <w:szCs w:val="22"/>
              </w:rPr>
            </w:pPr>
            <w:r>
              <w:rPr>
                <w:iCs/>
                <w:sz w:val="22"/>
                <w:szCs w:val="22"/>
              </w:rPr>
              <w:t>Formal assessment of language need on arrival in school</w:t>
            </w:r>
          </w:p>
          <w:p w14:paraId="20EF403E" w14:textId="7E49FB3A" w:rsidR="00517E50" w:rsidRDefault="00517E50" w:rsidP="00517E50">
            <w:pPr>
              <w:pStyle w:val="TableRow"/>
              <w:numPr>
                <w:ilvl w:val="0"/>
                <w:numId w:val="20"/>
              </w:numPr>
              <w:rPr>
                <w:iCs/>
                <w:sz w:val="22"/>
                <w:szCs w:val="22"/>
              </w:rPr>
            </w:pPr>
            <w:r>
              <w:rPr>
                <w:iCs/>
                <w:sz w:val="22"/>
                <w:szCs w:val="22"/>
              </w:rPr>
              <w:t>Specific EAL support sessions to develop understanding of English</w:t>
            </w:r>
          </w:p>
          <w:p w14:paraId="4977E2D7" w14:textId="0562DF0D" w:rsidR="00517E50" w:rsidRPr="00517E50" w:rsidRDefault="00517E50" w:rsidP="00517E50">
            <w:pPr>
              <w:pStyle w:val="TableRow"/>
              <w:numPr>
                <w:ilvl w:val="0"/>
                <w:numId w:val="20"/>
              </w:numPr>
              <w:rPr>
                <w:iCs/>
                <w:sz w:val="22"/>
                <w:szCs w:val="22"/>
              </w:rPr>
            </w:pPr>
            <w:r>
              <w:rPr>
                <w:iCs/>
                <w:sz w:val="22"/>
                <w:szCs w:val="22"/>
              </w:rPr>
              <w:t>Training and resources for all staff to support EAL students in lessons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5B4B3" w14:textId="77777777" w:rsidR="00517E50" w:rsidRDefault="00517E50" w:rsidP="000461A4">
            <w:pPr>
              <w:suppressAutoHyphens w:val="0"/>
              <w:autoSpaceDN/>
              <w:spacing w:before="60" w:after="60" w:line="240" w:lineRule="auto"/>
              <w:ind w:left="57" w:right="57"/>
              <w:rPr>
                <w:rFonts w:cs="Arial"/>
                <w:color w:val="auto"/>
                <w:sz w:val="22"/>
                <w:szCs w:val="22"/>
              </w:rPr>
            </w:pPr>
            <w:r w:rsidRPr="00517E50">
              <w:rPr>
                <w:rFonts w:cs="Arial"/>
                <w:color w:val="auto"/>
                <w:sz w:val="22"/>
                <w:szCs w:val="22"/>
              </w:rPr>
              <w:t xml:space="preserve">Learners’ proficiency in English is closely linked to academic success – Research has found that proficiency in English is the strongest predictor of academic achievement </w:t>
            </w:r>
          </w:p>
          <w:p w14:paraId="5F798368" w14:textId="77777777" w:rsidR="00250D34" w:rsidRDefault="00517E50" w:rsidP="000461A4">
            <w:pPr>
              <w:suppressAutoHyphens w:val="0"/>
              <w:autoSpaceDN/>
              <w:spacing w:before="60" w:after="60" w:line="240" w:lineRule="auto"/>
              <w:ind w:left="57" w:right="57"/>
              <w:rPr>
                <w:rFonts w:cs="Arial"/>
                <w:color w:val="auto"/>
                <w:sz w:val="22"/>
                <w:szCs w:val="22"/>
              </w:rPr>
            </w:pPr>
            <w:r w:rsidRPr="00517E50">
              <w:rPr>
                <w:rFonts w:cs="Arial"/>
                <w:color w:val="auto"/>
                <w:sz w:val="22"/>
                <w:szCs w:val="22"/>
              </w:rPr>
              <w:t>(Strand and Hessel, 2018)</w:t>
            </w:r>
            <w:r>
              <w:rPr>
                <w:rFonts w:cs="Arial"/>
                <w:color w:val="auto"/>
                <w:sz w:val="22"/>
                <w:szCs w:val="22"/>
              </w:rPr>
              <w:t xml:space="preserve"> </w:t>
            </w:r>
          </w:p>
          <w:p w14:paraId="7FCF0B7D" w14:textId="264FFA61" w:rsidR="00754C6D" w:rsidRDefault="004024A1" w:rsidP="000461A4">
            <w:pPr>
              <w:suppressAutoHyphens w:val="0"/>
              <w:autoSpaceDN/>
              <w:spacing w:before="60" w:after="60" w:line="240" w:lineRule="auto"/>
              <w:ind w:left="57" w:right="57"/>
              <w:rPr>
                <w:rFonts w:cs="Arial"/>
                <w:color w:val="auto"/>
                <w:sz w:val="22"/>
                <w:szCs w:val="22"/>
              </w:rPr>
            </w:pPr>
            <w:hyperlink r:id="rId12" w:history="1">
              <w:r w:rsidR="00250D34" w:rsidRPr="00211C02">
                <w:rPr>
                  <w:rStyle w:val="Hyperlink"/>
                  <w:rFonts w:cs="Arial"/>
                  <w:sz w:val="18"/>
                  <w:szCs w:val="18"/>
                </w:rPr>
                <w:t>https://www.bell-foundation.org.uk/eal-programme/research/english-as-an-additional-language-proficiency-in-english-and-pupils-educational-achievement-an-analysis-of-local-authority-data/</w:t>
              </w:r>
            </w:hyperlink>
          </w:p>
          <w:p w14:paraId="37A7CBAE" w14:textId="77777777" w:rsidR="00517E50" w:rsidRDefault="00517E50" w:rsidP="000461A4">
            <w:pPr>
              <w:suppressAutoHyphens w:val="0"/>
              <w:autoSpaceDN/>
              <w:spacing w:before="60" w:after="60" w:line="240" w:lineRule="auto"/>
              <w:ind w:left="57" w:right="57"/>
              <w:rPr>
                <w:rFonts w:cs="Arial"/>
                <w:color w:val="auto"/>
                <w:sz w:val="22"/>
                <w:szCs w:val="22"/>
              </w:rPr>
            </w:pPr>
          </w:p>
          <w:p w14:paraId="17463371" w14:textId="7BBC8D01" w:rsidR="00517E50" w:rsidRPr="00517E50" w:rsidRDefault="004024A1" w:rsidP="000461A4">
            <w:pPr>
              <w:suppressAutoHyphens w:val="0"/>
              <w:autoSpaceDN/>
              <w:spacing w:before="60" w:after="60" w:line="240" w:lineRule="auto"/>
              <w:ind w:left="57" w:right="57"/>
              <w:rPr>
                <w:rFonts w:cs="Arial"/>
                <w:color w:val="auto"/>
                <w:sz w:val="18"/>
                <w:szCs w:val="18"/>
              </w:rPr>
            </w:pPr>
            <w:hyperlink r:id="rId13" w:history="1">
              <w:r w:rsidR="00517E50" w:rsidRPr="00517E50">
                <w:rPr>
                  <w:rStyle w:val="Hyperlink"/>
                  <w:rFonts w:cs="Arial"/>
                  <w:sz w:val="18"/>
                  <w:szCs w:val="18"/>
                </w:rPr>
                <w:t>English as an additional language (EAL) | EEF (educationendowmentfoundation.org.uk)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027A6" w14:textId="5244C776" w:rsidR="00754C6D" w:rsidRDefault="00250D34" w:rsidP="00A0732A">
            <w:pPr>
              <w:pStyle w:val="TableRowCentered"/>
              <w:ind w:left="0"/>
              <w:jc w:val="left"/>
              <w:rPr>
                <w:sz w:val="22"/>
                <w:szCs w:val="22"/>
              </w:rPr>
            </w:pPr>
            <w:r>
              <w:rPr>
                <w:sz w:val="22"/>
                <w:szCs w:val="22"/>
              </w:rPr>
              <w:t>1,3,4</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44C193CD" w:rsidR="00E66558" w:rsidRDefault="009D71E8">
      <w:r>
        <w:t xml:space="preserve">Budgeted cost: </w:t>
      </w:r>
      <w:r w:rsidRPr="00D80330">
        <w:t>£</w:t>
      </w:r>
      <w:r w:rsidR="00F94622">
        <w:rPr>
          <w:iCs/>
        </w:rPr>
        <w:t>34,892.25</w:t>
      </w:r>
    </w:p>
    <w:tbl>
      <w:tblPr>
        <w:tblW w:w="5000" w:type="pct"/>
        <w:tblCellMar>
          <w:left w:w="10" w:type="dxa"/>
          <w:right w:w="10" w:type="dxa"/>
        </w:tblCellMar>
        <w:tblLook w:val="04A0" w:firstRow="1" w:lastRow="0" w:firstColumn="1" w:lastColumn="0" w:noHBand="0" w:noVBand="1"/>
      </w:tblPr>
      <w:tblGrid>
        <w:gridCol w:w="2444"/>
        <w:gridCol w:w="4864"/>
        <w:gridCol w:w="2178"/>
      </w:tblGrid>
      <w:tr w:rsidR="00E66558" w:rsidRPr="00AC06E0" w14:paraId="2A7D5528" w14:textId="77777777" w:rsidTr="00D23145">
        <w:tc>
          <w:tcPr>
            <w:tcW w:w="24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AC06E0" w:rsidRDefault="009D71E8">
            <w:pPr>
              <w:pStyle w:val="TableHeader"/>
              <w:jc w:val="left"/>
              <w:rPr>
                <w:sz w:val="22"/>
                <w:szCs w:val="22"/>
              </w:rPr>
            </w:pPr>
            <w:r w:rsidRPr="00AC06E0">
              <w:rPr>
                <w:sz w:val="22"/>
                <w:szCs w:val="22"/>
              </w:rPr>
              <w:t>Activity</w:t>
            </w:r>
          </w:p>
        </w:tc>
        <w:tc>
          <w:tcPr>
            <w:tcW w:w="486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AC06E0" w:rsidRDefault="009D71E8">
            <w:pPr>
              <w:pStyle w:val="TableHeader"/>
              <w:jc w:val="left"/>
              <w:rPr>
                <w:sz w:val="22"/>
                <w:szCs w:val="22"/>
              </w:rPr>
            </w:pPr>
            <w:r w:rsidRPr="00AC06E0">
              <w:rPr>
                <w:sz w:val="22"/>
                <w:szCs w:val="22"/>
              </w:rPr>
              <w:t>Evidence that supports this approach</w:t>
            </w:r>
          </w:p>
        </w:tc>
        <w:tc>
          <w:tcPr>
            <w:tcW w:w="217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AC06E0" w:rsidRDefault="009D71E8">
            <w:pPr>
              <w:pStyle w:val="TableHeader"/>
              <w:jc w:val="left"/>
              <w:rPr>
                <w:sz w:val="22"/>
                <w:szCs w:val="22"/>
              </w:rPr>
            </w:pPr>
            <w:r w:rsidRPr="00AC06E0">
              <w:rPr>
                <w:sz w:val="22"/>
                <w:szCs w:val="22"/>
              </w:rPr>
              <w:t>Challenge number(s) addressed</w:t>
            </w:r>
          </w:p>
        </w:tc>
      </w:tr>
      <w:tr w:rsidR="00517E50" w:rsidRPr="00AC06E0" w14:paraId="0E16C8D1" w14:textId="77777777" w:rsidTr="00D23145">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823D2" w14:textId="37790825" w:rsidR="00517E50" w:rsidRDefault="00250D34" w:rsidP="008868FF">
            <w:pPr>
              <w:pStyle w:val="TableRow"/>
              <w:rPr>
                <w:sz w:val="22"/>
                <w:szCs w:val="22"/>
              </w:rPr>
            </w:pPr>
            <w:r>
              <w:rPr>
                <w:sz w:val="22"/>
                <w:szCs w:val="22"/>
              </w:rPr>
              <w:t xml:space="preserve">Structured </w:t>
            </w:r>
            <w:r w:rsidR="009E6F48">
              <w:rPr>
                <w:sz w:val="22"/>
                <w:szCs w:val="22"/>
              </w:rPr>
              <w:t xml:space="preserve">form-time </w:t>
            </w:r>
            <w:r>
              <w:rPr>
                <w:sz w:val="22"/>
                <w:szCs w:val="22"/>
              </w:rPr>
              <w:t>intervention from Pupil Premium Advocates</w:t>
            </w:r>
          </w:p>
          <w:p w14:paraId="76CB8997" w14:textId="77777777" w:rsidR="00250D34" w:rsidRDefault="009E6F48" w:rsidP="00250D34">
            <w:pPr>
              <w:pStyle w:val="TableRow"/>
              <w:numPr>
                <w:ilvl w:val="0"/>
                <w:numId w:val="20"/>
              </w:numPr>
              <w:rPr>
                <w:sz w:val="22"/>
                <w:szCs w:val="22"/>
              </w:rPr>
            </w:pPr>
            <w:r>
              <w:rPr>
                <w:sz w:val="22"/>
                <w:szCs w:val="22"/>
              </w:rPr>
              <w:t>One-to-one intervention</w:t>
            </w:r>
          </w:p>
          <w:p w14:paraId="6F7C82CA" w14:textId="77777777" w:rsidR="009E6F48" w:rsidRDefault="009E6F48" w:rsidP="00250D34">
            <w:pPr>
              <w:pStyle w:val="TableRow"/>
              <w:numPr>
                <w:ilvl w:val="0"/>
                <w:numId w:val="20"/>
              </w:numPr>
              <w:rPr>
                <w:sz w:val="22"/>
                <w:szCs w:val="22"/>
              </w:rPr>
            </w:pPr>
            <w:r>
              <w:rPr>
                <w:sz w:val="22"/>
                <w:szCs w:val="22"/>
              </w:rPr>
              <w:t>Small group intervention</w:t>
            </w:r>
          </w:p>
          <w:p w14:paraId="4C0B2627" w14:textId="02BE6895" w:rsidR="009E6F48" w:rsidRPr="009E6F48" w:rsidRDefault="009E6F48" w:rsidP="009E6F48">
            <w:pPr>
              <w:pStyle w:val="TableRow"/>
              <w:numPr>
                <w:ilvl w:val="0"/>
                <w:numId w:val="20"/>
              </w:numPr>
              <w:rPr>
                <w:sz w:val="22"/>
                <w:szCs w:val="22"/>
              </w:rPr>
            </w:pPr>
            <w:r>
              <w:rPr>
                <w:sz w:val="22"/>
                <w:szCs w:val="22"/>
              </w:rPr>
              <w:t>Homework support</w:t>
            </w:r>
          </w:p>
        </w:tc>
        <w:tc>
          <w:tcPr>
            <w:tcW w:w="486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5D63E" w14:textId="4658D092" w:rsidR="00F70BAC" w:rsidRPr="00F43A79" w:rsidRDefault="00F43A79" w:rsidP="00F43A79">
            <w:pPr>
              <w:pStyle w:val="TableRowCentered"/>
              <w:jc w:val="left"/>
              <w:rPr>
                <w:sz w:val="22"/>
                <w:szCs w:val="22"/>
              </w:rPr>
            </w:pPr>
            <w:r>
              <w:rPr>
                <w:sz w:val="22"/>
                <w:szCs w:val="22"/>
              </w:rPr>
              <w:t>D</w:t>
            </w:r>
            <w:r w:rsidRPr="00F43A79">
              <w:rPr>
                <w:sz w:val="22"/>
                <w:szCs w:val="22"/>
              </w:rPr>
              <w:t>esignated advocate</w:t>
            </w:r>
            <w:r>
              <w:rPr>
                <w:sz w:val="22"/>
                <w:szCs w:val="22"/>
              </w:rPr>
              <w:t>s</w:t>
            </w:r>
            <w:r w:rsidRPr="00F43A79">
              <w:rPr>
                <w:sz w:val="22"/>
                <w:szCs w:val="22"/>
              </w:rPr>
              <w:t xml:space="preserve"> </w:t>
            </w:r>
            <w:r>
              <w:rPr>
                <w:sz w:val="22"/>
                <w:szCs w:val="22"/>
              </w:rPr>
              <w:t>whose role is to</w:t>
            </w:r>
            <w:r w:rsidRPr="00F43A79">
              <w:rPr>
                <w:sz w:val="22"/>
                <w:szCs w:val="22"/>
              </w:rPr>
              <w:t xml:space="preserve"> champion the needs of our </w:t>
            </w:r>
            <w:r>
              <w:rPr>
                <w:sz w:val="22"/>
                <w:szCs w:val="22"/>
              </w:rPr>
              <w:t xml:space="preserve">disadvantaged </w:t>
            </w:r>
            <w:r w:rsidRPr="00F43A79">
              <w:rPr>
                <w:sz w:val="22"/>
                <w:szCs w:val="22"/>
              </w:rPr>
              <w:t>students by working to remove barriers to learning through the focused support of their personal and academic development</w:t>
            </w:r>
          </w:p>
          <w:p w14:paraId="4326F052" w14:textId="77777777" w:rsidR="00517E50" w:rsidRPr="00F70BAC" w:rsidRDefault="004024A1" w:rsidP="00F43A79">
            <w:pPr>
              <w:pStyle w:val="TableRowCentered"/>
              <w:ind w:left="0"/>
              <w:jc w:val="left"/>
              <w:rPr>
                <w:sz w:val="18"/>
                <w:szCs w:val="18"/>
              </w:rPr>
            </w:pPr>
            <w:hyperlink r:id="rId14" w:history="1">
              <w:r w:rsidR="00F70BAC" w:rsidRPr="00F70BAC">
                <w:rPr>
                  <w:rStyle w:val="Hyperlink"/>
                  <w:sz w:val="18"/>
                  <w:szCs w:val="18"/>
                </w:rPr>
                <w:t>Behaviour interventions | EEF (educationendowmentfoundation.org.uk)</w:t>
              </w:r>
            </w:hyperlink>
            <w:r w:rsidR="00F70BAC" w:rsidRPr="00F70BAC">
              <w:rPr>
                <w:sz w:val="18"/>
                <w:szCs w:val="18"/>
              </w:rPr>
              <w:t xml:space="preserve"> </w:t>
            </w:r>
          </w:p>
          <w:p w14:paraId="5369271F" w14:textId="77777777" w:rsidR="00F43A79" w:rsidRDefault="00F43A79" w:rsidP="00F43A79">
            <w:pPr>
              <w:pStyle w:val="TableRowCentered"/>
              <w:ind w:left="0"/>
              <w:jc w:val="left"/>
              <w:rPr>
                <w:sz w:val="18"/>
                <w:szCs w:val="18"/>
              </w:rPr>
            </w:pPr>
          </w:p>
          <w:p w14:paraId="62C395E3" w14:textId="6DEA6E36" w:rsidR="00F70BAC" w:rsidRPr="00AC06E0" w:rsidRDefault="004024A1" w:rsidP="00F43A79">
            <w:pPr>
              <w:pStyle w:val="TableRowCentered"/>
              <w:ind w:left="0"/>
              <w:jc w:val="left"/>
              <w:rPr>
                <w:sz w:val="22"/>
                <w:szCs w:val="22"/>
              </w:rPr>
            </w:pPr>
            <w:hyperlink r:id="rId15" w:history="1">
              <w:r w:rsidR="00F43A79" w:rsidRPr="00E318BD">
                <w:rPr>
                  <w:rStyle w:val="Hyperlink"/>
                  <w:sz w:val="18"/>
                  <w:szCs w:val="18"/>
                </w:rPr>
                <w:t>https://educationendowmentfoundation.org.uk/education-evidence/teaching-learning-toolkit/homework</w:t>
              </w:r>
            </w:hyperlink>
            <w:r w:rsidR="00F70BAC">
              <w:rPr>
                <w:sz w:val="22"/>
                <w:szCs w:val="22"/>
              </w:rPr>
              <w:t xml:space="preserve"> </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A0FA4" w14:textId="318D93F8" w:rsidR="00517E50" w:rsidRDefault="009E6F48">
            <w:pPr>
              <w:pStyle w:val="TableRowCentered"/>
              <w:jc w:val="left"/>
              <w:rPr>
                <w:sz w:val="22"/>
                <w:szCs w:val="22"/>
              </w:rPr>
            </w:pPr>
            <w:r>
              <w:rPr>
                <w:sz w:val="22"/>
                <w:szCs w:val="22"/>
              </w:rPr>
              <w:t>1,3,4,5</w:t>
            </w:r>
          </w:p>
        </w:tc>
      </w:tr>
      <w:tr w:rsidR="00D23145" w:rsidRPr="00AC06E0" w14:paraId="7D05CD5F" w14:textId="77777777" w:rsidTr="00D23145">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B14F0" w14:textId="77777777" w:rsidR="00D23145" w:rsidRDefault="00D23145" w:rsidP="00D23145">
            <w:pPr>
              <w:pStyle w:val="TableRow"/>
              <w:rPr>
                <w:color w:val="auto"/>
                <w:sz w:val="22"/>
                <w:szCs w:val="22"/>
              </w:rPr>
            </w:pPr>
            <w:r w:rsidRPr="005E3C92">
              <w:rPr>
                <w:color w:val="auto"/>
                <w:sz w:val="22"/>
                <w:szCs w:val="22"/>
              </w:rPr>
              <w:t>Interventions to support language development, literacy, and numeracy</w:t>
            </w:r>
            <w:r>
              <w:rPr>
                <w:color w:val="auto"/>
                <w:sz w:val="22"/>
                <w:szCs w:val="22"/>
              </w:rPr>
              <w:t xml:space="preserve"> delivered by HTLA.</w:t>
            </w:r>
          </w:p>
          <w:p w14:paraId="4F4F1B3F" w14:textId="77777777" w:rsidR="00D23145" w:rsidRDefault="00D23145" w:rsidP="00D23145">
            <w:pPr>
              <w:pStyle w:val="TableRow"/>
              <w:rPr>
                <w:color w:val="auto"/>
                <w:sz w:val="22"/>
                <w:szCs w:val="22"/>
              </w:rPr>
            </w:pPr>
          </w:p>
          <w:p w14:paraId="23CF51DC" w14:textId="28D5147C" w:rsidR="00D23145" w:rsidRDefault="00D23145" w:rsidP="00D23145">
            <w:pPr>
              <w:pStyle w:val="TableRow"/>
              <w:rPr>
                <w:sz w:val="22"/>
                <w:szCs w:val="22"/>
              </w:rPr>
            </w:pPr>
            <w:r>
              <w:rPr>
                <w:iCs/>
                <w:sz w:val="22"/>
                <w:szCs w:val="22"/>
              </w:rPr>
              <w:t>Extra weekly English lessons for weaker readers in Year 7.</w:t>
            </w:r>
          </w:p>
        </w:tc>
        <w:tc>
          <w:tcPr>
            <w:tcW w:w="486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F8F4C" w14:textId="77777777" w:rsidR="00D23145" w:rsidRPr="00AC06E0" w:rsidRDefault="00D23145" w:rsidP="00D23145">
            <w:pPr>
              <w:suppressAutoHyphens w:val="0"/>
              <w:autoSpaceDN/>
              <w:spacing w:before="60" w:after="60" w:line="240" w:lineRule="auto"/>
              <w:ind w:left="57" w:right="57"/>
              <w:rPr>
                <w:rFonts w:cs="Arial"/>
                <w:color w:val="auto"/>
                <w:sz w:val="22"/>
                <w:szCs w:val="22"/>
              </w:rPr>
            </w:pPr>
            <w:r w:rsidRPr="00AC06E0">
              <w:rPr>
                <w:rFonts w:cs="Arial"/>
                <w:color w:val="auto"/>
                <w:sz w:val="22"/>
                <w:szCs w:val="22"/>
              </w:rPr>
              <w:t xml:space="preserve">Reading comprehension strategies can have a positive impact on pupils’ ability to understand a text, and this is particularly the case when interventions are delivered over a shorter timespan: </w:t>
            </w:r>
          </w:p>
          <w:p w14:paraId="65A91D91" w14:textId="77777777" w:rsidR="00D23145" w:rsidRPr="00F43A79" w:rsidRDefault="004024A1" w:rsidP="00D23145">
            <w:pPr>
              <w:pStyle w:val="TableRowCentered"/>
              <w:jc w:val="left"/>
              <w:rPr>
                <w:color w:val="0070C0"/>
                <w:sz w:val="18"/>
                <w:szCs w:val="18"/>
                <w:u w:val="single"/>
              </w:rPr>
            </w:pPr>
            <w:hyperlink r:id="rId16" w:history="1">
              <w:r w:rsidR="00D23145" w:rsidRPr="00F43A79">
                <w:rPr>
                  <w:color w:val="0070C0"/>
                  <w:sz w:val="18"/>
                  <w:szCs w:val="18"/>
                  <w:u w:val="single"/>
                </w:rPr>
                <w:t>Reading comprehension strategies | Toolkit Strand | Education Endowment Foundation | EEF</w:t>
              </w:r>
            </w:hyperlink>
          </w:p>
          <w:p w14:paraId="23E01E0B" w14:textId="77777777" w:rsidR="00D23145" w:rsidRPr="00F43A79" w:rsidRDefault="004024A1" w:rsidP="00D23145">
            <w:pPr>
              <w:pStyle w:val="TableRowCentered"/>
              <w:jc w:val="left"/>
              <w:rPr>
                <w:color w:val="0070C0"/>
                <w:sz w:val="18"/>
                <w:szCs w:val="18"/>
                <w:u w:val="single"/>
              </w:rPr>
            </w:pPr>
            <w:hyperlink r:id="rId17" w:history="1">
              <w:r w:rsidR="00D23145" w:rsidRPr="00F43A79">
                <w:rPr>
                  <w:rStyle w:val="Hyperlink"/>
                  <w:sz w:val="18"/>
                  <w:szCs w:val="18"/>
                </w:rPr>
                <w:t>https://educationendowmentfoundation.org.uk/education-evidence/teaching-learning-toolkit/phonics</w:t>
              </w:r>
            </w:hyperlink>
            <w:r w:rsidR="00D23145" w:rsidRPr="00F43A79">
              <w:rPr>
                <w:color w:val="0070C0"/>
                <w:sz w:val="18"/>
                <w:szCs w:val="18"/>
                <w:u w:val="single"/>
              </w:rPr>
              <w:t xml:space="preserve"> </w:t>
            </w:r>
          </w:p>
          <w:p w14:paraId="67ED41B8" w14:textId="77777777" w:rsidR="00D23145" w:rsidRPr="00F43A79" w:rsidRDefault="004024A1" w:rsidP="00D23145">
            <w:pPr>
              <w:pStyle w:val="TableRowCentered"/>
              <w:ind w:left="0"/>
              <w:jc w:val="left"/>
              <w:rPr>
                <w:sz w:val="18"/>
                <w:szCs w:val="18"/>
              </w:rPr>
            </w:pPr>
            <w:hyperlink r:id="rId18" w:history="1">
              <w:r w:rsidR="00D23145" w:rsidRPr="00F43A79">
                <w:rPr>
                  <w:rStyle w:val="Hyperlink"/>
                  <w:sz w:val="18"/>
                  <w:szCs w:val="18"/>
                </w:rPr>
                <w:t>https://educationendowmentfoundation.org.uk/education-evidence/evidence-reviews/literacy-development</w:t>
              </w:r>
            </w:hyperlink>
            <w:r w:rsidR="00D23145" w:rsidRPr="00F43A79">
              <w:rPr>
                <w:sz w:val="18"/>
                <w:szCs w:val="18"/>
              </w:rPr>
              <w:t xml:space="preserve">  </w:t>
            </w:r>
          </w:p>
          <w:p w14:paraId="638429EE" w14:textId="13FF12C1" w:rsidR="00D23145" w:rsidRDefault="004024A1" w:rsidP="00D23145">
            <w:pPr>
              <w:pStyle w:val="TableRowCentered"/>
              <w:jc w:val="left"/>
              <w:rPr>
                <w:sz w:val="22"/>
                <w:szCs w:val="22"/>
              </w:rPr>
            </w:pPr>
            <w:hyperlink r:id="rId19" w:history="1">
              <w:r w:rsidR="00D23145" w:rsidRPr="00F43A79">
                <w:rPr>
                  <w:rStyle w:val="Hyperlink"/>
                  <w:sz w:val="18"/>
                  <w:szCs w:val="18"/>
                </w:rPr>
                <w:t>https://educationendowmentfoundation.org.uk/education-evidence/evidence-reviews/reading-at-the-transition</w:t>
              </w:r>
            </w:hyperlink>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97476" w14:textId="3B7F2099" w:rsidR="00D23145" w:rsidRDefault="00D23145" w:rsidP="00D23145">
            <w:pPr>
              <w:pStyle w:val="TableRowCentered"/>
              <w:jc w:val="left"/>
              <w:rPr>
                <w:sz w:val="22"/>
                <w:szCs w:val="22"/>
              </w:rPr>
            </w:pPr>
            <w:r w:rsidRPr="00AC06E0">
              <w:rPr>
                <w:sz w:val="22"/>
                <w:szCs w:val="22"/>
              </w:rPr>
              <w:t>2</w:t>
            </w:r>
          </w:p>
        </w:tc>
      </w:tr>
      <w:tr w:rsidR="00D23145" w:rsidRPr="00AC06E0" w14:paraId="1AB23B9E" w14:textId="77777777" w:rsidTr="00D23145">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EC222" w14:textId="1712670D" w:rsidR="00D23145" w:rsidRDefault="00D23145" w:rsidP="00D23145">
            <w:pPr>
              <w:pStyle w:val="TableRow"/>
              <w:rPr>
                <w:sz w:val="22"/>
                <w:szCs w:val="22"/>
              </w:rPr>
            </w:pPr>
            <w:r>
              <w:rPr>
                <w:color w:val="auto"/>
                <w:sz w:val="22"/>
                <w:szCs w:val="22"/>
              </w:rPr>
              <w:t>Peer tutoring: Form time intervention with Sixth Form mentors</w:t>
            </w:r>
          </w:p>
        </w:tc>
        <w:tc>
          <w:tcPr>
            <w:tcW w:w="486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80C8E" w14:textId="77777777" w:rsidR="00D23145" w:rsidRPr="00F43A79" w:rsidRDefault="00D23145" w:rsidP="00D23145">
            <w:pPr>
              <w:suppressAutoHyphens w:val="0"/>
              <w:autoSpaceDN/>
              <w:spacing w:before="60" w:after="60" w:line="240" w:lineRule="auto"/>
              <w:ind w:left="57" w:right="57"/>
              <w:rPr>
                <w:sz w:val="22"/>
                <w:szCs w:val="22"/>
              </w:rPr>
            </w:pPr>
            <w:r w:rsidRPr="00F43A79">
              <w:rPr>
                <w:sz w:val="22"/>
                <w:szCs w:val="22"/>
              </w:rPr>
              <w:t>Peer tutoring, on average, has a positive impact on both tutors and tutees. Ensuring that the age gap is wide enough so that the work is challenging to the tutee whilst easy enough for the tutor to support them is key. Successful approaches may also have other benefits, such as supporting the social and personal development of pupils and boosting their self-confidence and motivation for learning.</w:t>
            </w:r>
          </w:p>
          <w:p w14:paraId="733A582F" w14:textId="27D66B38" w:rsidR="00D23145" w:rsidRDefault="004024A1" w:rsidP="00D23145">
            <w:pPr>
              <w:pStyle w:val="TableRowCentered"/>
              <w:jc w:val="left"/>
              <w:rPr>
                <w:sz w:val="22"/>
                <w:szCs w:val="22"/>
              </w:rPr>
            </w:pPr>
            <w:hyperlink r:id="rId20" w:history="1">
              <w:r w:rsidR="00D23145" w:rsidRPr="00F43A79">
                <w:rPr>
                  <w:rStyle w:val="Hyperlink"/>
                  <w:rFonts w:cs="Arial"/>
                  <w:sz w:val="18"/>
                  <w:szCs w:val="18"/>
                </w:rPr>
                <w:t>https://educationendowmentfoundation.org.uk/education-evidence/teaching-learning-toolkit/peer-tutoring</w:t>
              </w:r>
            </w:hyperlink>
            <w:r w:rsidR="00D23145" w:rsidRPr="00F43A79">
              <w:rPr>
                <w:rFonts w:cs="Arial"/>
                <w:color w:val="auto"/>
                <w:sz w:val="18"/>
                <w:szCs w:val="18"/>
              </w:rPr>
              <w:t xml:space="preserve"> </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5E801" w14:textId="67DC0FB2" w:rsidR="00D23145" w:rsidRDefault="00D23145" w:rsidP="00D23145">
            <w:pPr>
              <w:pStyle w:val="TableRowCentered"/>
              <w:jc w:val="left"/>
              <w:rPr>
                <w:sz w:val="22"/>
                <w:szCs w:val="22"/>
              </w:rPr>
            </w:pPr>
            <w:r>
              <w:rPr>
                <w:sz w:val="22"/>
                <w:szCs w:val="22"/>
              </w:rPr>
              <w:t>1,3,4,5</w:t>
            </w:r>
          </w:p>
        </w:tc>
      </w:tr>
      <w:tr w:rsidR="008868FF" w:rsidRPr="00AC06E0" w14:paraId="0B108084" w14:textId="77777777" w:rsidTr="00D23145">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7F346" w14:textId="1C56FE38" w:rsidR="0089357E" w:rsidRDefault="00012C2E" w:rsidP="008868FF">
            <w:pPr>
              <w:pStyle w:val="TableRow"/>
              <w:rPr>
                <w:sz w:val="22"/>
                <w:szCs w:val="22"/>
              </w:rPr>
            </w:pPr>
            <w:r>
              <w:rPr>
                <w:sz w:val="22"/>
                <w:szCs w:val="22"/>
              </w:rPr>
              <w:t>One-to-one and small group intervention</w:t>
            </w:r>
          </w:p>
          <w:p w14:paraId="50637CC4" w14:textId="6C083822" w:rsidR="00012C2E" w:rsidRDefault="00012C2E" w:rsidP="00012C2E">
            <w:pPr>
              <w:pStyle w:val="TableRow"/>
              <w:numPr>
                <w:ilvl w:val="0"/>
                <w:numId w:val="20"/>
              </w:numPr>
              <w:rPr>
                <w:sz w:val="22"/>
                <w:szCs w:val="22"/>
              </w:rPr>
            </w:pPr>
            <w:r>
              <w:rPr>
                <w:sz w:val="22"/>
                <w:szCs w:val="22"/>
              </w:rPr>
              <w:t>Inclusion Centre intervention work</w:t>
            </w:r>
          </w:p>
          <w:p w14:paraId="3B63C986" w14:textId="0940F72C" w:rsidR="008868FF" w:rsidRPr="00AC06E0" w:rsidRDefault="009E6F48" w:rsidP="00012C2E">
            <w:pPr>
              <w:pStyle w:val="TableRow"/>
              <w:numPr>
                <w:ilvl w:val="0"/>
                <w:numId w:val="20"/>
              </w:numPr>
              <w:rPr>
                <w:sz w:val="22"/>
                <w:szCs w:val="22"/>
              </w:rPr>
            </w:pPr>
            <w:r>
              <w:rPr>
                <w:sz w:val="22"/>
                <w:szCs w:val="22"/>
              </w:rPr>
              <w:t>Catch-up</w:t>
            </w:r>
            <w:r w:rsidR="008868FF" w:rsidRPr="00AC06E0">
              <w:rPr>
                <w:sz w:val="22"/>
                <w:szCs w:val="22"/>
              </w:rPr>
              <w:t xml:space="preserve"> intervention for disadvantaged students who are underperforming in GCSE English, Maths and Science.</w:t>
            </w:r>
          </w:p>
        </w:tc>
        <w:tc>
          <w:tcPr>
            <w:tcW w:w="486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ED4C" w14:textId="068D7B51" w:rsidR="00F43A79" w:rsidRPr="00F43A79" w:rsidRDefault="00F43A79" w:rsidP="00F43A79">
            <w:pPr>
              <w:pStyle w:val="TableRowCentered"/>
              <w:jc w:val="left"/>
              <w:rPr>
                <w:sz w:val="22"/>
                <w:szCs w:val="22"/>
              </w:rPr>
            </w:pPr>
            <w:r w:rsidRPr="00F43A79">
              <w:rPr>
                <w:sz w:val="22"/>
                <w:szCs w:val="22"/>
              </w:rPr>
              <w:t>One to one tuition is an effective strategy for providing intensive, targeted support for pupils that are identified as underperforming in particular areas.</w:t>
            </w:r>
          </w:p>
          <w:p w14:paraId="7E36EFFE" w14:textId="7FFB5F3F" w:rsidR="008868FF" w:rsidRPr="00F70BAC" w:rsidRDefault="004024A1">
            <w:pPr>
              <w:pStyle w:val="TableRowCentered"/>
              <w:jc w:val="left"/>
              <w:rPr>
                <w:sz w:val="18"/>
                <w:szCs w:val="18"/>
              </w:rPr>
            </w:pPr>
            <w:hyperlink r:id="rId21" w:history="1">
              <w:r w:rsidR="00F43A79" w:rsidRPr="00E318BD">
                <w:rPr>
                  <w:rStyle w:val="Hyperlink"/>
                  <w:sz w:val="18"/>
                  <w:szCs w:val="18"/>
                </w:rPr>
                <w:t>https://educationendowmentfoundation.org.uk/education-evidence/teaching-learning-toolkit/one-to-one-tuition</w:t>
              </w:r>
            </w:hyperlink>
            <w:r w:rsidR="00F70BAC" w:rsidRPr="00F70BAC">
              <w:rPr>
                <w:sz w:val="18"/>
                <w:szCs w:val="18"/>
              </w:rPr>
              <w:t xml:space="preserve"> </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1ED12" w14:textId="2C4ABA3B" w:rsidR="008868FF" w:rsidRPr="00AC06E0" w:rsidRDefault="004A15DB">
            <w:pPr>
              <w:pStyle w:val="TableRowCentered"/>
              <w:jc w:val="left"/>
              <w:rPr>
                <w:sz w:val="22"/>
                <w:szCs w:val="22"/>
              </w:rPr>
            </w:pPr>
            <w:r>
              <w:rPr>
                <w:sz w:val="22"/>
                <w:szCs w:val="22"/>
              </w:rPr>
              <w:t>1</w:t>
            </w:r>
            <w:r w:rsidR="008868FF" w:rsidRPr="00AC06E0">
              <w:rPr>
                <w:sz w:val="22"/>
                <w:szCs w:val="22"/>
              </w:rPr>
              <w:t>,3</w:t>
            </w:r>
            <w:r>
              <w:rPr>
                <w:sz w:val="22"/>
                <w:szCs w:val="22"/>
              </w:rPr>
              <w:t>,4</w:t>
            </w:r>
          </w:p>
        </w:tc>
      </w:tr>
      <w:tr w:rsidR="00517E50" w:rsidRPr="00AC06E0" w14:paraId="4221BF1C" w14:textId="77777777" w:rsidTr="00D23145">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D6930" w14:textId="5641F200" w:rsidR="00517E50" w:rsidRPr="00AC06E0" w:rsidRDefault="00517E50" w:rsidP="00517E50">
            <w:pPr>
              <w:pStyle w:val="TableRow"/>
              <w:rPr>
                <w:color w:val="auto"/>
                <w:sz w:val="22"/>
                <w:szCs w:val="22"/>
              </w:rPr>
            </w:pPr>
            <w:r w:rsidRPr="00AC06E0">
              <w:rPr>
                <w:color w:val="auto"/>
                <w:sz w:val="22"/>
                <w:szCs w:val="22"/>
              </w:rPr>
              <w:t>Engaging with the National Tutoring Programme. A significant proportion of the pupils who receive tutoring will be disadvantaged, including those who are high attainers.</w:t>
            </w: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A834D" w14:textId="77777777" w:rsidR="00517E50" w:rsidRPr="00AC06E0" w:rsidRDefault="00517E50" w:rsidP="00517E50">
            <w:pPr>
              <w:suppressAutoHyphens w:val="0"/>
              <w:autoSpaceDN/>
              <w:spacing w:before="60" w:after="60" w:line="240" w:lineRule="auto"/>
              <w:ind w:left="57" w:right="57"/>
              <w:rPr>
                <w:color w:val="auto"/>
                <w:sz w:val="22"/>
                <w:szCs w:val="22"/>
              </w:rPr>
            </w:pPr>
            <w:r w:rsidRPr="00AC06E0">
              <w:rPr>
                <w:color w:val="auto"/>
                <w:sz w:val="22"/>
                <w:szCs w:val="22"/>
              </w:rPr>
              <w:t>Tuition targeted at specific needs and knowledge gaps can be an effective method to support low attaining pupils or those falling behind, both one-to-one:</w:t>
            </w:r>
          </w:p>
          <w:p w14:paraId="44BC066D" w14:textId="77777777" w:rsidR="00517E50" w:rsidRPr="00F43A79" w:rsidRDefault="004024A1" w:rsidP="00517E50">
            <w:pPr>
              <w:suppressAutoHyphens w:val="0"/>
              <w:autoSpaceDN/>
              <w:spacing w:before="60" w:after="60" w:line="240" w:lineRule="auto"/>
              <w:ind w:left="57" w:right="57"/>
              <w:rPr>
                <w:color w:val="0070C0"/>
                <w:sz w:val="18"/>
                <w:szCs w:val="18"/>
              </w:rPr>
            </w:pPr>
            <w:hyperlink r:id="rId22" w:history="1">
              <w:r w:rsidR="00517E50" w:rsidRPr="00F43A79">
                <w:rPr>
                  <w:color w:val="0070C0"/>
                  <w:sz w:val="18"/>
                  <w:szCs w:val="18"/>
                  <w:u w:val="single"/>
                </w:rPr>
                <w:t>One to one tuition | EEF (educationendowmentfoundation.org.uk)</w:t>
              </w:r>
            </w:hyperlink>
          </w:p>
          <w:p w14:paraId="7C4F5B2F" w14:textId="77777777" w:rsidR="00517E50" w:rsidRPr="00AC06E0" w:rsidRDefault="00517E50" w:rsidP="00517E50">
            <w:pPr>
              <w:suppressAutoHyphens w:val="0"/>
              <w:autoSpaceDN/>
              <w:spacing w:before="60" w:after="60" w:line="240" w:lineRule="auto"/>
              <w:ind w:left="57" w:right="57"/>
              <w:rPr>
                <w:color w:val="auto"/>
                <w:sz w:val="22"/>
                <w:szCs w:val="22"/>
              </w:rPr>
            </w:pPr>
            <w:r w:rsidRPr="00AC06E0">
              <w:rPr>
                <w:color w:val="auto"/>
                <w:sz w:val="22"/>
                <w:szCs w:val="22"/>
              </w:rPr>
              <w:t>And in small groups:</w:t>
            </w:r>
          </w:p>
          <w:p w14:paraId="3E391AB3" w14:textId="0B6A273E" w:rsidR="00517E50" w:rsidRPr="00F43A79" w:rsidRDefault="004024A1" w:rsidP="00517E50">
            <w:pPr>
              <w:suppressAutoHyphens w:val="0"/>
              <w:autoSpaceDN/>
              <w:spacing w:before="60" w:after="60" w:line="240" w:lineRule="auto"/>
              <w:ind w:left="57" w:right="57"/>
              <w:rPr>
                <w:rFonts w:cs="Arial"/>
                <w:color w:val="auto"/>
                <w:sz w:val="18"/>
                <w:szCs w:val="18"/>
              </w:rPr>
            </w:pPr>
            <w:hyperlink r:id="rId23" w:history="1">
              <w:r w:rsidR="00517E50" w:rsidRPr="00F43A79">
                <w:rPr>
                  <w:color w:val="0070C0"/>
                  <w:sz w:val="18"/>
                  <w:szCs w:val="18"/>
                  <w:u w:val="single"/>
                </w:rPr>
                <w:t>Small group tuition | Toolkit Strand | Education Endowment Foundation | EEF</w:t>
              </w:r>
            </w:hyperlink>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20AB6" w14:textId="02703118" w:rsidR="00517E50" w:rsidRPr="00AC06E0" w:rsidRDefault="00517E50" w:rsidP="00517E50">
            <w:pPr>
              <w:pStyle w:val="TableRowCentered"/>
              <w:jc w:val="left"/>
              <w:rPr>
                <w:sz w:val="22"/>
                <w:szCs w:val="22"/>
              </w:rPr>
            </w:pPr>
            <w:r w:rsidRPr="00AC06E0">
              <w:rPr>
                <w:sz w:val="22"/>
                <w:szCs w:val="22"/>
              </w:rPr>
              <w:t>1,2,3</w:t>
            </w:r>
            <w:r>
              <w:rPr>
                <w:sz w:val="22"/>
                <w:szCs w:val="22"/>
              </w:rPr>
              <w:t>,4</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7A838BDE" w:rsidR="00E66558" w:rsidRDefault="00D80330">
      <w:pPr>
        <w:spacing w:before="240" w:after="120"/>
      </w:pPr>
      <w:r>
        <w:t>Budgeted cost: £</w:t>
      </w:r>
      <w:r w:rsidR="00F94622">
        <w:t>34,892.25</w:t>
      </w:r>
    </w:p>
    <w:tbl>
      <w:tblPr>
        <w:tblW w:w="5000" w:type="pct"/>
        <w:tblCellMar>
          <w:left w:w="10" w:type="dxa"/>
          <w:right w:w="10" w:type="dxa"/>
        </w:tblCellMar>
        <w:tblLook w:val="04A0" w:firstRow="1" w:lastRow="0" w:firstColumn="1" w:lastColumn="0" w:noHBand="0" w:noVBand="1"/>
      </w:tblPr>
      <w:tblGrid>
        <w:gridCol w:w="2219"/>
        <w:gridCol w:w="5566"/>
        <w:gridCol w:w="1701"/>
      </w:tblGrid>
      <w:tr w:rsidR="00E66558" w:rsidRPr="00AC06E0" w14:paraId="2A7D5537" w14:textId="77777777" w:rsidTr="0044051E">
        <w:tc>
          <w:tcPr>
            <w:tcW w:w="179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AC06E0" w:rsidRDefault="009D71E8">
            <w:pPr>
              <w:pStyle w:val="TableHeader"/>
              <w:jc w:val="left"/>
              <w:rPr>
                <w:sz w:val="22"/>
                <w:szCs w:val="22"/>
              </w:rPr>
            </w:pPr>
            <w:r w:rsidRPr="00AC06E0">
              <w:rPr>
                <w:sz w:val="22"/>
                <w:szCs w:val="22"/>
              </w:rPr>
              <w:t>Activity</w:t>
            </w:r>
          </w:p>
        </w:tc>
        <w:tc>
          <w:tcPr>
            <w:tcW w:w="58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AC06E0" w:rsidRDefault="009D71E8">
            <w:pPr>
              <w:pStyle w:val="TableHeader"/>
              <w:jc w:val="left"/>
              <w:rPr>
                <w:sz w:val="22"/>
                <w:szCs w:val="22"/>
              </w:rPr>
            </w:pPr>
            <w:r w:rsidRPr="00AC06E0">
              <w:rPr>
                <w:sz w:val="22"/>
                <w:szCs w:val="22"/>
              </w:rPr>
              <w:t>Evidence that supports this approach</w:t>
            </w:r>
          </w:p>
        </w:tc>
        <w:tc>
          <w:tcPr>
            <w:tcW w:w="181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AC06E0" w:rsidRDefault="009D71E8">
            <w:pPr>
              <w:pStyle w:val="TableHeader"/>
              <w:jc w:val="left"/>
              <w:rPr>
                <w:sz w:val="22"/>
                <w:szCs w:val="22"/>
              </w:rPr>
            </w:pPr>
            <w:r w:rsidRPr="00AC06E0">
              <w:rPr>
                <w:sz w:val="22"/>
                <w:szCs w:val="22"/>
              </w:rPr>
              <w:t>Challenge number(s) addressed</w:t>
            </w:r>
          </w:p>
        </w:tc>
      </w:tr>
      <w:tr w:rsidR="004A15DB" w:rsidRPr="00AC06E0" w14:paraId="149605FF" w14:textId="77777777" w:rsidTr="0044051E">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A7454" w14:textId="54B5264B" w:rsidR="004A15DB" w:rsidRDefault="004A15DB" w:rsidP="004A15DB">
            <w:pPr>
              <w:pStyle w:val="TableRow"/>
              <w:rPr>
                <w:sz w:val="22"/>
                <w:szCs w:val="22"/>
              </w:rPr>
            </w:pPr>
            <w:r w:rsidRPr="00AC06E0">
              <w:rPr>
                <w:sz w:val="22"/>
                <w:szCs w:val="22"/>
              </w:rPr>
              <w:t xml:space="preserve">Support for the social, emotional and mental health </w:t>
            </w:r>
            <w:r w:rsidR="005A770D">
              <w:rPr>
                <w:sz w:val="22"/>
                <w:szCs w:val="22"/>
              </w:rPr>
              <w:t xml:space="preserve">needs </w:t>
            </w:r>
            <w:r w:rsidRPr="00AC06E0">
              <w:rPr>
                <w:sz w:val="22"/>
                <w:szCs w:val="22"/>
              </w:rPr>
              <w:t xml:space="preserve">of disadvantaged students and building self-esteem, including through one-to-one mentoring </w:t>
            </w:r>
            <w:r>
              <w:rPr>
                <w:sz w:val="22"/>
                <w:szCs w:val="22"/>
              </w:rPr>
              <w:t>and building positive relationships with families.</w:t>
            </w:r>
          </w:p>
          <w:p w14:paraId="7E57787F" w14:textId="77777777" w:rsidR="00517E50" w:rsidRPr="00250D34" w:rsidRDefault="00250D34" w:rsidP="00517E50">
            <w:pPr>
              <w:pStyle w:val="TableRow"/>
              <w:numPr>
                <w:ilvl w:val="0"/>
                <w:numId w:val="20"/>
              </w:numPr>
              <w:rPr>
                <w:iCs/>
                <w:sz w:val="22"/>
                <w:szCs w:val="22"/>
              </w:rPr>
            </w:pPr>
            <w:r>
              <w:rPr>
                <w:sz w:val="22"/>
                <w:szCs w:val="22"/>
              </w:rPr>
              <w:t xml:space="preserve">Work of the </w:t>
            </w:r>
            <w:r w:rsidR="00517E50">
              <w:rPr>
                <w:sz w:val="22"/>
                <w:szCs w:val="22"/>
              </w:rPr>
              <w:t>Heads of Year/Assistant Heads of Year</w:t>
            </w:r>
          </w:p>
          <w:p w14:paraId="13A8957E" w14:textId="77777777" w:rsidR="00250D34" w:rsidRDefault="00250D34" w:rsidP="00517E50">
            <w:pPr>
              <w:pStyle w:val="TableRow"/>
              <w:numPr>
                <w:ilvl w:val="0"/>
                <w:numId w:val="20"/>
              </w:numPr>
              <w:rPr>
                <w:iCs/>
                <w:sz w:val="22"/>
                <w:szCs w:val="22"/>
              </w:rPr>
            </w:pPr>
            <w:r>
              <w:rPr>
                <w:iCs/>
                <w:sz w:val="22"/>
                <w:szCs w:val="22"/>
              </w:rPr>
              <w:t xml:space="preserve">Pupil Premium Advocates: </w:t>
            </w:r>
            <w:proofErr w:type="gramStart"/>
            <w:r>
              <w:rPr>
                <w:iCs/>
                <w:sz w:val="22"/>
                <w:szCs w:val="22"/>
              </w:rPr>
              <w:t>termly  progress</w:t>
            </w:r>
            <w:proofErr w:type="gramEnd"/>
            <w:r>
              <w:rPr>
                <w:iCs/>
                <w:sz w:val="22"/>
                <w:szCs w:val="22"/>
              </w:rPr>
              <w:t xml:space="preserve"> reviews with students and parents </w:t>
            </w:r>
          </w:p>
          <w:p w14:paraId="636EA344" w14:textId="6C0AEA51" w:rsidR="0089357E" w:rsidRPr="00AC06E0" w:rsidRDefault="0089357E" w:rsidP="00517E50">
            <w:pPr>
              <w:pStyle w:val="TableRow"/>
              <w:numPr>
                <w:ilvl w:val="0"/>
                <w:numId w:val="20"/>
              </w:numPr>
              <w:rPr>
                <w:iCs/>
                <w:sz w:val="22"/>
                <w:szCs w:val="22"/>
              </w:rPr>
            </w:pPr>
            <w:r>
              <w:rPr>
                <w:iCs/>
                <w:sz w:val="22"/>
                <w:szCs w:val="22"/>
              </w:rPr>
              <w:t xml:space="preserve">Work of the safeguarding team </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ECED9" w14:textId="77777777" w:rsidR="004A15DB" w:rsidRPr="00AC06E0" w:rsidRDefault="004A15DB" w:rsidP="004A15DB">
            <w:pPr>
              <w:pStyle w:val="TableRowCentered"/>
              <w:jc w:val="left"/>
              <w:rPr>
                <w:sz w:val="22"/>
                <w:szCs w:val="22"/>
              </w:rPr>
            </w:pPr>
            <w:r w:rsidRPr="00AC06E0">
              <w:rPr>
                <w:sz w:val="22"/>
                <w:szCs w:val="22"/>
              </w:rPr>
              <w:t>Social and emotional learning interventions in education are shown to improve social and emotional skills and are therefore likely to support disadvantaged pupils to understand and engage in healthy relationships with peers and emotional self-regulation, both of which may subsequently increase academic attainment.</w:t>
            </w:r>
          </w:p>
          <w:p w14:paraId="3F32338C" w14:textId="29923BBD" w:rsidR="004A15DB" w:rsidRPr="0079004C" w:rsidRDefault="004024A1" w:rsidP="004A15DB">
            <w:pPr>
              <w:pStyle w:val="TableRowCentered"/>
              <w:jc w:val="left"/>
              <w:rPr>
                <w:rStyle w:val="Hyperlink"/>
                <w:sz w:val="18"/>
                <w:szCs w:val="18"/>
              </w:rPr>
            </w:pPr>
            <w:hyperlink r:id="rId24" w:history="1">
              <w:r w:rsidR="004A15DB" w:rsidRPr="0079004C">
                <w:rPr>
                  <w:rStyle w:val="Hyperlink"/>
                  <w:sz w:val="18"/>
                  <w:szCs w:val="18"/>
                </w:rPr>
                <w:t>https://educationendowmentfoundation.org.uk/education-evidence/teaching-learning-toolkit/social-and-emotional-learning</w:t>
              </w:r>
            </w:hyperlink>
          </w:p>
          <w:p w14:paraId="6A0A83BF" w14:textId="2C405FAD" w:rsidR="00250D34" w:rsidRPr="0079004C" w:rsidRDefault="004024A1" w:rsidP="004A15DB">
            <w:pPr>
              <w:pStyle w:val="TableRowCentered"/>
              <w:jc w:val="left"/>
              <w:rPr>
                <w:sz w:val="18"/>
                <w:szCs w:val="18"/>
              </w:rPr>
            </w:pPr>
            <w:hyperlink r:id="rId25" w:history="1">
              <w:r w:rsidR="00250D34" w:rsidRPr="0079004C">
                <w:rPr>
                  <w:rStyle w:val="Hyperlink"/>
                  <w:sz w:val="18"/>
                  <w:szCs w:val="18"/>
                </w:rPr>
                <w:t>https://educationendowmentfoundation.org.uk/education-evidence/teaching-learning-toolkit/parental-engagement</w:t>
              </w:r>
            </w:hyperlink>
          </w:p>
          <w:p w14:paraId="03F05E1A" w14:textId="77777777" w:rsidR="004A15DB" w:rsidRPr="00AC06E0" w:rsidRDefault="004A15DB" w:rsidP="004A15DB">
            <w:pPr>
              <w:pStyle w:val="TableRowCentered"/>
              <w:jc w:val="left"/>
              <w:rPr>
                <w:sz w:val="22"/>
                <w:szCs w:val="22"/>
              </w:rPr>
            </w:pPr>
          </w:p>
          <w:p w14:paraId="3756AF90" w14:textId="77777777" w:rsidR="004A15DB" w:rsidRPr="00AC06E0" w:rsidRDefault="004A15DB" w:rsidP="0079004C">
            <w:pPr>
              <w:pStyle w:val="TableRowCentered"/>
              <w:ind w:left="0"/>
              <w:jc w:val="left"/>
              <w:rPr>
                <w:sz w:val="22"/>
                <w:szCs w:val="22"/>
              </w:rPr>
            </w:pPr>
            <w:r w:rsidRPr="00AC06E0">
              <w:rPr>
                <w:sz w:val="22"/>
                <w:szCs w:val="22"/>
              </w:rPr>
              <w:t>Trauma-informed approaches can have a positive impact on attainment and social and emotional competences and confidence.</w:t>
            </w:r>
          </w:p>
          <w:p w14:paraId="1399EFEC" w14:textId="77777777" w:rsidR="004A15DB" w:rsidRPr="00AC06E0" w:rsidRDefault="004A15DB" w:rsidP="004A15DB">
            <w:pPr>
              <w:pStyle w:val="TableRowCentered"/>
              <w:jc w:val="left"/>
              <w:rPr>
                <w:sz w:val="22"/>
                <w:szCs w:val="22"/>
              </w:rPr>
            </w:pPr>
          </w:p>
          <w:p w14:paraId="1395E496" w14:textId="77777777" w:rsidR="004A15DB" w:rsidRPr="0079004C" w:rsidRDefault="004024A1" w:rsidP="004A15DB">
            <w:pPr>
              <w:pStyle w:val="TableRowCentered"/>
              <w:jc w:val="left"/>
              <w:rPr>
                <w:sz w:val="18"/>
                <w:szCs w:val="18"/>
              </w:rPr>
            </w:pPr>
            <w:hyperlink r:id="rId26" w:history="1">
              <w:r w:rsidR="004A15DB" w:rsidRPr="0079004C">
                <w:rPr>
                  <w:rStyle w:val="Hyperlink"/>
                  <w:sz w:val="18"/>
                  <w:szCs w:val="18"/>
                </w:rPr>
                <w:t>Mental_health_and_behaviour_in_schools__.pdf</w:t>
              </w:r>
            </w:hyperlink>
          </w:p>
          <w:p w14:paraId="214E417D" w14:textId="77777777" w:rsidR="0079004C" w:rsidRDefault="0079004C" w:rsidP="0079004C">
            <w:pPr>
              <w:pStyle w:val="TableRowCentered"/>
              <w:ind w:left="0"/>
              <w:jc w:val="left"/>
              <w:rPr>
                <w:sz w:val="22"/>
                <w:szCs w:val="22"/>
              </w:rPr>
            </w:pPr>
          </w:p>
          <w:p w14:paraId="59AAAAB9" w14:textId="78BA61FE" w:rsidR="004A15DB" w:rsidRPr="00AC06E0" w:rsidRDefault="004A15DB" w:rsidP="0079004C">
            <w:pPr>
              <w:pStyle w:val="TableRowCentered"/>
              <w:ind w:left="0"/>
              <w:jc w:val="left"/>
              <w:rPr>
                <w:sz w:val="22"/>
                <w:szCs w:val="22"/>
              </w:rPr>
            </w:pPr>
            <w:r w:rsidRPr="00AC06E0">
              <w:rPr>
                <w:sz w:val="22"/>
                <w:szCs w:val="22"/>
              </w:rPr>
              <w:t>EEF Toolkit: Mentoring</w:t>
            </w:r>
          </w:p>
          <w:p w14:paraId="267A5CF8" w14:textId="036471D3" w:rsidR="004A15DB" w:rsidRPr="0079004C" w:rsidRDefault="004024A1" w:rsidP="004A15DB">
            <w:pPr>
              <w:pStyle w:val="TableRowCentered"/>
              <w:jc w:val="left"/>
              <w:rPr>
                <w:sz w:val="18"/>
                <w:szCs w:val="18"/>
              </w:rPr>
            </w:pPr>
            <w:hyperlink r:id="rId27" w:history="1">
              <w:r w:rsidR="004A15DB" w:rsidRPr="0079004C">
                <w:rPr>
                  <w:rStyle w:val="Hyperlink"/>
                  <w:sz w:val="18"/>
                  <w:szCs w:val="18"/>
                </w:rPr>
                <w:t>https://educationendowmentfoundation.org.uk/education-evidence/teaching-learning-toolkit/mentoring</w:t>
              </w:r>
            </w:hyperlink>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D53D6" w14:textId="3F6F4D5F" w:rsidR="004A15DB" w:rsidRPr="00AC06E0" w:rsidRDefault="004A15DB" w:rsidP="004A15DB">
            <w:pPr>
              <w:pStyle w:val="TableRowCentered"/>
              <w:jc w:val="left"/>
              <w:rPr>
                <w:sz w:val="22"/>
                <w:szCs w:val="22"/>
              </w:rPr>
            </w:pPr>
            <w:r>
              <w:rPr>
                <w:sz w:val="22"/>
                <w:szCs w:val="22"/>
              </w:rPr>
              <w:t>1,5,6,7,8</w:t>
            </w:r>
          </w:p>
        </w:tc>
      </w:tr>
      <w:tr w:rsidR="00E66558" w:rsidRPr="00AC06E0" w14:paraId="2A7D553F" w14:textId="77777777" w:rsidTr="0044051E">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7B1BD0EB" w:rsidR="00E66558" w:rsidRPr="00AC06E0" w:rsidRDefault="005A770D">
            <w:pPr>
              <w:pStyle w:val="TableRow"/>
              <w:rPr>
                <w:iCs/>
                <w:sz w:val="22"/>
                <w:szCs w:val="22"/>
              </w:rPr>
            </w:pPr>
            <w:r>
              <w:rPr>
                <w:iCs/>
                <w:sz w:val="22"/>
                <w:szCs w:val="22"/>
              </w:rPr>
              <w:t>Support for students’ developmental needs by p</w:t>
            </w:r>
            <w:r w:rsidR="00A22E48" w:rsidRPr="00AC06E0">
              <w:rPr>
                <w:iCs/>
                <w:sz w:val="22"/>
                <w:szCs w:val="22"/>
              </w:rPr>
              <w:t xml:space="preserve">riority </w:t>
            </w:r>
            <w:r>
              <w:rPr>
                <w:iCs/>
                <w:sz w:val="22"/>
                <w:szCs w:val="22"/>
              </w:rPr>
              <w:t>access to</w:t>
            </w:r>
            <w:r w:rsidR="00A22E48" w:rsidRPr="00AC06E0">
              <w:rPr>
                <w:iCs/>
                <w:sz w:val="22"/>
                <w:szCs w:val="22"/>
              </w:rPr>
              <w:t xml:space="preserve"> Careers Interviews to identify an appropriate post-16 pathway</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70359" w14:textId="5E4A2683" w:rsidR="00681975" w:rsidRPr="00AC06E0" w:rsidRDefault="00681975" w:rsidP="00681975">
            <w:pPr>
              <w:pStyle w:val="TableRowCentered"/>
              <w:jc w:val="left"/>
              <w:rPr>
                <w:sz w:val="22"/>
                <w:szCs w:val="22"/>
              </w:rPr>
            </w:pPr>
            <w:r w:rsidRPr="00AC06E0">
              <w:rPr>
                <w:sz w:val="22"/>
                <w:szCs w:val="22"/>
              </w:rPr>
              <w:t>Most young people have high aspirations for themselves. Ensuring that students have the knowledge and skills to progress towards their aspirations is likely to be more effective than intervening to change the aspirations themselves. Aspiration interventions without an academic component are unlikely to narrow the disadvantaged attainment gap so this strategy is supported by Teaching and Learning strategies.</w:t>
            </w:r>
          </w:p>
          <w:p w14:paraId="2BE5D6A8" w14:textId="77777777" w:rsidR="00AA64E2" w:rsidRPr="00AC06E0" w:rsidRDefault="00AA64E2" w:rsidP="00681975">
            <w:pPr>
              <w:pStyle w:val="TableRowCentered"/>
              <w:jc w:val="left"/>
              <w:rPr>
                <w:sz w:val="22"/>
                <w:szCs w:val="22"/>
              </w:rPr>
            </w:pPr>
          </w:p>
          <w:p w14:paraId="090C5BE7" w14:textId="02D512B4" w:rsidR="00681975" w:rsidRPr="0079004C" w:rsidRDefault="00681975">
            <w:pPr>
              <w:pStyle w:val="TableRowCentered"/>
              <w:jc w:val="left"/>
              <w:rPr>
                <w:sz w:val="18"/>
                <w:szCs w:val="18"/>
              </w:rPr>
            </w:pPr>
            <w:r w:rsidRPr="00AC06E0">
              <w:rPr>
                <w:sz w:val="22"/>
                <w:szCs w:val="22"/>
              </w:rPr>
              <w:t xml:space="preserve"> </w:t>
            </w:r>
            <w:hyperlink r:id="rId28" w:history="1">
              <w:r w:rsidRPr="0079004C">
                <w:rPr>
                  <w:rStyle w:val="Hyperlink"/>
                  <w:sz w:val="18"/>
                  <w:szCs w:val="18"/>
                </w:rPr>
                <w:t>EEF Aspiration Interventions</w:t>
              </w:r>
            </w:hyperlink>
          </w:p>
          <w:p w14:paraId="2A7D553D" w14:textId="015D81D0" w:rsidR="00E66558" w:rsidRPr="00AC06E0" w:rsidRDefault="00E66558">
            <w:pPr>
              <w:pStyle w:val="TableRowCentered"/>
              <w:jc w:val="left"/>
              <w:rPr>
                <w:sz w:val="22"/>
                <w:szCs w:val="22"/>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369150C" w:rsidR="00E66558" w:rsidRPr="00AC06E0" w:rsidRDefault="00A22E48">
            <w:pPr>
              <w:pStyle w:val="TableRowCentered"/>
              <w:jc w:val="left"/>
              <w:rPr>
                <w:sz w:val="22"/>
                <w:szCs w:val="22"/>
              </w:rPr>
            </w:pPr>
            <w:r w:rsidRPr="00AC06E0">
              <w:rPr>
                <w:sz w:val="22"/>
                <w:szCs w:val="22"/>
              </w:rPr>
              <w:t>1</w:t>
            </w:r>
          </w:p>
        </w:tc>
      </w:tr>
      <w:tr w:rsidR="00A22E48" w:rsidRPr="00AC06E0" w14:paraId="7F802F76" w14:textId="77777777" w:rsidTr="0044051E">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D34A1" w14:textId="0403B293" w:rsidR="00A22E48" w:rsidRDefault="005A770D">
            <w:pPr>
              <w:pStyle w:val="TableRow"/>
              <w:rPr>
                <w:iCs/>
                <w:sz w:val="22"/>
                <w:szCs w:val="22"/>
              </w:rPr>
            </w:pPr>
            <w:r>
              <w:rPr>
                <w:iCs/>
                <w:sz w:val="22"/>
                <w:szCs w:val="22"/>
              </w:rPr>
              <w:t>A</w:t>
            </w:r>
            <w:r w:rsidR="0091344A" w:rsidRPr="00AC06E0">
              <w:rPr>
                <w:iCs/>
                <w:sz w:val="22"/>
                <w:szCs w:val="22"/>
              </w:rPr>
              <w:t>ccess to extra-curricular clubs, t</w:t>
            </w:r>
            <w:r w:rsidR="008868FF" w:rsidRPr="00AC06E0">
              <w:rPr>
                <w:iCs/>
                <w:sz w:val="22"/>
                <w:szCs w:val="22"/>
              </w:rPr>
              <w:t>rips and visits to support the acquisition of cultural capital and foster inclusivity</w:t>
            </w:r>
          </w:p>
          <w:p w14:paraId="38972E26" w14:textId="010A7C68" w:rsidR="00250D34" w:rsidRDefault="00250D34" w:rsidP="00250D34">
            <w:pPr>
              <w:pStyle w:val="TableRow"/>
              <w:numPr>
                <w:ilvl w:val="0"/>
                <w:numId w:val="20"/>
              </w:numPr>
              <w:rPr>
                <w:iCs/>
                <w:sz w:val="22"/>
                <w:szCs w:val="22"/>
              </w:rPr>
            </w:pPr>
            <w:r>
              <w:rPr>
                <w:iCs/>
                <w:sz w:val="22"/>
                <w:szCs w:val="22"/>
              </w:rPr>
              <w:t xml:space="preserve">Monitor participation </w:t>
            </w:r>
            <w:r w:rsidR="00F70BAC">
              <w:rPr>
                <w:iCs/>
                <w:sz w:val="22"/>
                <w:szCs w:val="22"/>
              </w:rPr>
              <w:t>of</w:t>
            </w:r>
            <w:r>
              <w:rPr>
                <w:iCs/>
                <w:sz w:val="22"/>
                <w:szCs w:val="22"/>
              </w:rPr>
              <w:t xml:space="preserve"> disadvantaged students</w:t>
            </w:r>
          </w:p>
          <w:p w14:paraId="7DAAB6AA" w14:textId="5FC860D3" w:rsidR="00250D34" w:rsidRPr="00AC06E0" w:rsidRDefault="00250D34" w:rsidP="00250D34">
            <w:pPr>
              <w:pStyle w:val="TableRow"/>
              <w:numPr>
                <w:ilvl w:val="0"/>
                <w:numId w:val="20"/>
              </w:numPr>
              <w:rPr>
                <w:iCs/>
                <w:sz w:val="22"/>
                <w:szCs w:val="22"/>
              </w:rPr>
            </w:pPr>
            <w:r>
              <w:rPr>
                <w:iCs/>
                <w:sz w:val="22"/>
                <w:szCs w:val="22"/>
              </w:rPr>
              <w:t xml:space="preserve">Changes to trip protocols </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BC1A7" w14:textId="70CE852D" w:rsidR="00CB338E" w:rsidRPr="00AC06E0" w:rsidRDefault="00FA14AB">
            <w:pPr>
              <w:pStyle w:val="TableRowCentered"/>
              <w:jc w:val="left"/>
              <w:rPr>
                <w:sz w:val="22"/>
                <w:szCs w:val="22"/>
              </w:rPr>
            </w:pPr>
            <w:r w:rsidRPr="00AC06E0">
              <w:rPr>
                <w:sz w:val="22"/>
                <w:szCs w:val="22"/>
              </w:rPr>
              <w:t xml:space="preserve">Providing subsidised extra-curricular access aims to improve the aspirations and attainment of </w:t>
            </w:r>
            <w:r w:rsidR="00AC06E0" w:rsidRPr="00AC06E0">
              <w:rPr>
                <w:sz w:val="22"/>
                <w:szCs w:val="22"/>
              </w:rPr>
              <w:t>students</w:t>
            </w:r>
            <w:r w:rsidRPr="00AC06E0">
              <w:rPr>
                <w:sz w:val="22"/>
                <w:szCs w:val="22"/>
              </w:rPr>
              <w:t xml:space="preserve"> by providing learning activities beyond the normal school day, such as </w:t>
            </w:r>
            <w:r w:rsidR="00AC06E0" w:rsidRPr="00AC06E0">
              <w:rPr>
                <w:sz w:val="22"/>
                <w:szCs w:val="22"/>
              </w:rPr>
              <w:t>lunchtime</w:t>
            </w:r>
            <w:r w:rsidRPr="00AC06E0">
              <w:rPr>
                <w:sz w:val="22"/>
                <w:szCs w:val="22"/>
              </w:rPr>
              <w:t xml:space="preserve"> clubs, visits</w:t>
            </w:r>
            <w:r w:rsidR="00AC06E0" w:rsidRPr="00AC06E0">
              <w:rPr>
                <w:sz w:val="22"/>
                <w:szCs w:val="22"/>
              </w:rPr>
              <w:t>, arts participation and active, outdoor activities.</w:t>
            </w:r>
          </w:p>
          <w:p w14:paraId="0475C650" w14:textId="77777777" w:rsidR="00FA14AB" w:rsidRPr="00AC06E0" w:rsidRDefault="00FA14AB">
            <w:pPr>
              <w:pStyle w:val="TableRowCentered"/>
              <w:jc w:val="left"/>
              <w:rPr>
                <w:sz w:val="22"/>
                <w:szCs w:val="22"/>
              </w:rPr>
            </w:pPr>
          </w:p>
          <w:p w14:paraId="1483E1D2" w14:textId="0BF26449" w:rsidR="00A22E48" w:rsidRPr="0079004C" w:rsidRDefault="004024A1">
            <w:pPr>
              <w:pStyle w:val="TableRowCentered"/>
              <w:jc w:val="left"/>
              <w:rPr>
                <w:sz w:val="18"/>
                <w:szCs w:val="18"/>
              </w:rPr>
            </w:pPr>
            <w:hyperlink r:id="rId29" w:history="1">
              <w:r w:rsidR="00CB338E" w:rsidRPr="0079004C">
                <w:rPr>
                  <w:rStyle w:val="Hyperlink"/>
                  <w:sz w:val="18"/>
                  <w:szCs w:val="18"/>
                </w:rPr>
                <w:t>https://educationendowmentfoundation.org.uk/education-evidence/teaching-learning-toolkit/arts-participation</w:t>
              </w:r>
            </w:hyperlink>
            <w:r w:rsidR="008868FF" w:rsidRPr="0079004C">
              <w:rPr>
                <w:sz w:val="18"/>
                <w:szCs w:val="18"/>
              </w:rPr>
              <w:t xml:space="preserve"> </w:t>
            </w:r>
          </w:p>
          <w:p w14:paraId="19293DFA" w14:textId="77777777" w:rsidR="008868FF" w:rsidRPr="0079004C" w:rsidRDefault="008868FF">
            <w:pPr>
              <w:pStyle w:val="TableRowCentered"/>
              <w:jc w:val="left"/>
              <w:rPr>
                <w:sz w:val="18"/>
                <w:szCs w:val="18"/>
              </w:rPr>
            </w:pPr>
          </w:p>
          <w:p w14:paraId="22CEE5E0" w14:textId="77777777" w:rsidR="008868FF" w:rsidRPr="0079004C" w:rsidRDefault="004024A1">
            <w:pPr>
              <w:pStyle w:val="TableRowCentered"/>
              <w:jc w:val="left"/>
              <w:rPr>
                <w:sz w:val="18"/>
                <w:szCs w:val="18"/>
              </w:rPr>
            </w:pPr>
            <w:hyperlink r:id="rId30" w:history="1">
              <w:r w:rsidR="008868FF" w:rsidRPr="0079004C">
                <w:rPr>
                  <w:rStyle w:val="Hyperlink"/>
                  <w:sz w:val="18"/>
                  <w:szCs w:val="18"/>
                </w:rPr>
                <w:t>https://educationendowmentfoundation.org.uk/education-evidence/teaching-learning-toolkit/outdoor-adventure-learning</w:t>
              </w:r>
            </w:hyperlink>
            <w:r w:rsidR="008868FF" w:rsidRPr="0079004C">
              <w:rPr>
                <w:sz w:val="18"/>
                <w:szCs w:val="18"/>
              </w:rPr>
              <w:t xml:space="preserve"> </w:t>
            </w:r>
          </w:p>
          <w:p w14:paraId="354A41F9" w14:textId="77777777" w:rsidR="008868FF" w:rsidRPr="0079004C" w:rsidRDefault="008868FF">
            <w:pPr>
              <w:pStyle w:val="TableRowCentered"/>
              <w:jc w:val="left"/>
              <w:rPr>
                <w:sz w:val="18"/>
                <w:szCs w:val="18"/>
              </w:rPr>
            </w:pPr>
          </w:p>
          <w:p w14:paraId="192E805C" w14:textId="1B299142" w:rsidR="008868FF" w:rsidRPr="00AC06E0" w:rsidRDefault="004024A1">
            <w:pPr>
              <w:pStyle w:val="TableRowCentered"/>
              <w:jc w:val="left"/>
              <w:rPr>
                <w:sz w:val="22"/>
                <w:szCs w:val="22"/>
              </w:rPr>
            </w:pPr>
            <w:hyperlink r:id="rId31" w:history="1">
              <w:r w:rsidR="008868FF" w:rsidRPr="0079004C">
                <w:rPr>
                  <w:rStyle w:val="Hyperlink"/>
                  <w:sz w:val="18"/>
                  <w:szCs w:val="18"/>
                </w:rPr>
                <w:t>https://educationendowmentfoundation.org.uk/education-evidence/teaching-learning-toolkit/physical-activity</w:t>
              </w:r>
            </w:hyperlink>
            <w:r w:rsidR="008868FF" w:rsidRPr="0079004C">
              <w:rPr>
                <w:sz w:val="18"/>
                <w:szCs w:val="18"/>
              </w:rPr>
              <w:t xml:space="preserve"> </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F12C7" w14:textId="2AB038AD" w:rsidR="00A22E48" w:rsidRPr="00AC06E0" w:rsidRDefault="00AC06E0">
            <w:pPr>
              <w:pStyle w:val="TableRowCentered"/>
              <w:jc w:val="left"/>
              <w:rPr>
                <w:sz w:val="22"/>
                <w:szCs w:val="22"/>
              </w:rPr>
            </w:pPr>
            <w:r>
              <w:rPr>
                <w:sz w:val="22"/>
                <w:szCs w:val="22"/>
              </w:rPr>
              <w:t>9</w:t>
            </w:r>
          </w:p>
        </w:tc>
      </w:tr>
      <w:tr w:rsidR="005A770D" w:rsidRPr="00AC06E0" w14:paraId="7EA31192" w14:textId="77777777" w:rsidTr="0044051E">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E6340" w14:textId="77777777" w:rsidR="005A770D" w:rsidRDefault="005A770D">
            <w:pPr>
              <w:pStyle w:val="TableRow"/>
              <w:rPr>
                <w:iCs/>
                <w:sz w:val="22"/>
                <w:szCs w:val="22"/>
              </w:rPr>
            </w:pPr>
            <w:r w:rsidRPr="005A770D">
              <w:rPr>
                <w:iCs/>
                <w:sz w:val="22"/>
                <w:szCs w:val="22"/>
              </w:rPr>
              <w:t>Communicating with and supporting parents</w:t>
            </w:r>
          </w:p>
          <w:p w14:paraId="482D4387" w14:textId="0660EBEF" w:rsidR="0089357E" w:rsidRDefault="0089357E" w:rsidP="005A770D">
            <w:pPr>
              <w:pStyle w:val="TableRow"/>
              <w:numPr>
                <w:ilvl w:val="0"/>
                <w:numId w:val="20"/>
              </w:numPr>
              <w:rPr>
                <w:iCs/>
                <w:sz w:val="22"/>
                <w:szCs w:val="22"/>
              </w:rPr>
            </w:pPr>
            <w:r>
              <w:rPr>
                <w:iCs/>
                <w:sz w:val="22"/>
                <w:szCs w:val="22"/>
              </w:rPr>
              <w:t>Attendance team contact with parents</w:t>
            </w:r>
          </w:p>
          <w:p w14:paraId="2C2CE8DD" w14:textId="0E21F7D4" w:rsidR="005A770D" w:rsidRDefault="005A770D" w:rsidP="005A770D">
            <w:pPr>
              <w:pStyle w:val="TableRow"/>
              <w:numPr>
                <w:ilvl w:val="0"/>
                <w:numId w:val="20"/>
              </w:numPr>
              <w:rPr>
                <w:iCs/>
                <w:sz w:val="22"/>
                <w:szCs w:val="22"/>
              </w:rPr>
            </w:pPr>
            <w:r>
              <w:rPr>
                <w:iCs/>
                <w:sz w:val="22"/>
                <w:szCs w:val="22"/>
              </w:rPr>
              <w:t>Support for booking parents’ evening appointments</w:t>
            </w:r>
          </w:p>
          <w:p w14:paraId="657AEA4A" w14:textId="77777777" w:rsidR="005A770D" w:rsidRDefault="005A770D" w:rsidP="005A770D">
            <w:pPr>
              <w:pStyle w:val="TableRow"/>
              <w:numPr>
                <w:ilvl w:val="0"/>
                <w:numId w:val="20"/>
              </w:numPr>
              <w:rPr>
                <w:iCs/>
                <w:sz w:val="22"/>
                <w:szCs w:val="22"/>
              </w:rPr>
            </w:pPr>
            <w:r>
              <w:rPr>
                <w:iCs/>
                <w:sz w:val="22"/>
                <w:szCs w:val="22"/>
              </w:rPr>
              <w:t xml:space="preserve">Return to face-to-face appointments </w:t>
            </w:r>
          </w:p>
          <w:p w14:paraId="4A7F3BB2" w14:textId="77777777" w:rsidR="005A770D" w:rsidRDefault="005A770D" w:rsidP="005A770D">
            <w:pPr>
              <w:pStyle w:val="TableRow"/>
              <w:numPr>
                <w:ilvl w:val="0"/>
                <w:numId w:val="20"/>
              </w:numPr>
              <w:rPr>
                <w:iCs/>
                <w:sz w:val="22"/>
                <w:szCs w:val="22"/>
              </w:rPr>
            </w:pPr>
            <w:r>
              <w:rPr>
                <w:iCs/>
                <w:sz w:val="22"/>
                <w:szCs w:val="22"/>
              </w:rPr>
              <w:t xml:space="preserve">Communication of praise for students </w:t>
            </w:r>
          </w:p>
          <w:p w14:paraId="34739528" w14:textId="645C7848" w:rsidR="0089357E" w:rsidRDefault="0089357E" w:rsidP="0089357E">
            <w:pPr>
              <w:pStyle w:val="TableRow"/>
              <w:ind w:left="0"/>
              <w:rPr>
                <w:iCs/>
                <w:sz w:val="22"/>
                <w:szCs w:val="22"/>
              </w:rPr>
            </w:pP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81058" w14:textId="51286321" w:rsidR="005A770D" w:rsidRDefault="005A770D" w:rsidP="005A770D">
            <w:pPr>
              <w:pStyle w:val="TableRowCentered"/>
              <w:jc w:val="left"/>
              <w:rPr>
                <w:sz w:val="22"/>
                <w:szCs w:val="22"/>
              </w:rPr>
            </w:pPr>
            <w:r w:rsidRPr="005A770D">
              <w:rPr>
                <w:sz w:val="22"/>
                <w:szCs w:val="22"/>
              </w:rPr>
              <w:t>By designing and delivering effective approaches to support parental engagement, schools and teachers may be able to mitigate some of the causes of educational disadvantage, supporting parents to assist their children’s learning or their self-regulation, as well as specific skills, such as reading.</w:t>
            </w:r>
            <w:r>
              <w:rPr>
                <w:sz w:val="22"/>
                <w:szCs w:val="22"/>
              </w:rPr>
              <w:t xml:space="preserve"> </w:t>
            </w:r>
            <w:r w:rsidRPr="005A770D">
              <w:rPr>
                <w:sz w:val="22"/>
                <w:szCs w:val="22"/>
              </w:rPr>
              <w:t>There is some evidence that personalised messages</w:t>
            </w:r>
            <w:r>
              <w:rPr>
                <w:sz w:val="22"/>
                <w:szCs w:val="22"/>
              </w:rPr>
              <w:t xml:space="preserve"> to parents,</w:t>
            </w:r>
            <w:r w:rsidRPr="005A770D">
              <w:rPr>
                <w:sz w:val="22"/>
                <w:szCs w:val="22"/>
              </w:rPr>
              <w:t xml:space="preserve"> linked to learning can promote positive interactions.</w:t>
            </w:r>
          </w:p>
          <w:p w14:paraId="512DF94B" w14:textId="1DB8A19F" w:rsidR="005A770D" w:rsidRPr="0079004C" w:rsidRDefault="004024A1">
            <w:pPr>
              <w:pStyle w:val="TableRowCentered"/>
              <w:jc w:val="left"/>
              <w:rPr>
                <w:sz w:val="18"/>
                <w:szCs w:val="18"/>
              </w:rPr>
            </w:pPr>
            <w:hyperlink r:id="rId32" w:history="1">
              <w:r w:rsidR="005A770D" w:rsidRPr="0079004C">
                <w:rPr>
                  <w:rStyle w:val="Hyperlink"/>
                  <w:sz w:val="18"/>
                  <w:szCs w:val="18"/>
                </w:rPr>
                <w:t>https://educationendowmentfoundation.org.uk/education-evidence/teaching-learning-toolkit/parental-engagement</w:t>
              </w:r>
            </w:hyperlink>
            <w:r w:rsidR="005A770D" w:rsidRPr="0079004C">
              <w:rPr>
                <w:sz w:val="18"/>
                <w:szCs w:val="18"/>
              </w:rPr>
              <w:t xml:space="preserve"> </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1A34F" w14:textId="5706166F" w:rsidR="005A770D" w:rsidRDefault="0079004C">
            <w:pPr>
              <w:pStyle w:val="TableRowCentered"/>
              <w:jc w:val="left"/>
              <w:rPr>
                <w:sz w:val="22"/>
                <w:szCs w:val="22"/>
              </w:rPr>
            </w:pPr>
            <w:r>
              <w:rPr>
                <w:sz w:val="22"/>
                <w:szCs w:val="22"/>
              </w:rPr>
              <w:t>6</w:t>
            </w:r>
          </w:p>
        </w:tc>
      </w:tr>
    </w:tbl>
    <w:p w14:paraId="2A7D5540" w14:textId="77777777" w:rsidR="00E66558" w:rsidRDefault="00E66558">
      <w:pPr>
        <w:spacing w:before="240" w:after="0"/>
        <w:rPr>
          <w:b/>
          <w:bCs/>
          <w:color w:val="104F75"/>
          <w:sz w:val="28"/>
          <w:szCs w:val="28"/>
        </w:rPr>
      </w:pPr>
    </w:p>
    <w:p w14:paraId="2A7D5541" w14:textId="2BD0D4E0" w:rsidR="00E66558" w:rsidRDefault="00D56975" w:rsidP="00120AB1">
      <w:r>
        <w:rPr>
          <w:b/>
          <w:bCs/>
          <w:color w:val="104F75"/>
          <w:sz w:val="28"/>
          <w:szCs w:val="28"/>
        </w:rPr>
        <w:t xml:space="preserve">Total budgeted cost: </w:t>
      </w:r>
      <w:r w:rsidR="007A146D" w:rsidRPr="007A146D">
        <w:rPr>
          <w:b/>
          <w:bCs/>
          <w:color w:val="104F75"/>
          <w:sz w:val="28"/>
          <w:szCs w:val="28"/>
        </w:rPr>
        <w:t>£139,569</w:t>
      </w:r>
    </w:p>
    <w:p w14:paraId="148CCAB4" w14:textId="77777777" w:rsidR="00AA08C6" w:rsidRDefault="00AA08C6" w:rsidP="00AA08C6">
      <w:pPr>
        <w:pStyle w:val="Heading1"/>
      </w:pPr>
      <w:r>
        <w:t>Part B: Review of the previous academic year</w:t>
      </w:r>
    </w:p>
    <w:p w14:paraId="78490A5E" w14:textId="77777777" w:rsidR="00AA08C6" w:rsidRDefault="00AA08C6" w:rsidP="00AA08C6">
      <w:pPr>
        <w:pStyle w:val="Heading2"/>
      </w:pPr>
      <w:r>
        <w:t>Outcomes for disadvantaged pupils</w:t>
      </w:r>
    </w:p>
    <w:p w14:paraId="251FB415" w14:textId="77777777" w:rsidR="00AA08C6" w:rsidRDefault="00AA08C6" w:rsidP="00AA08C6">
      <w:pPr>
        <w:spacing w:after="0"/>
      </w:pPr>
    </w:p>
    <w:tbl>
      <w:tblPr>
        <w:tblW w:w="9493" w:type="dxa"/>
        <w:tblCellMar>
          <w:left w:w="10" w:type="dxa"/>
          <w:right w:w="10" w:type="dxa"/>
        </w:tblCellMar>
        <w:tblLook w:val="04A0" w:firstRow="1" w:lastRow="0" w:firstColumn="1" w:lastColumn="0" w:noHBand="0" w:noVBand="1"/>
      </w:tblPr>
      <w:tblGrid>
        <w:gridCol w:w="9493"/>
      </w:tblGrid>
      <w:tr w:rsidR="00AA08C6" w14:paraId="67DEDD49" w14:textId="77777777" w:rsidTr="003911E0">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4C4DE3" w14:textId="77777777" w:rsidR="00AA08C6" w:rsidRPr="007A146D" w:rsidRDefault="00AA08C6" w:rsidP="003911E0">
            <w:pPr>
              <w:autoSpaceDN/>
              <w:spacing w:before="120"/>
              <w:rPr>
                <w:rFonts w:cs="Arial"/>
                <w:color w:val="auto"/>
                <w:sz w:val="22"/>
                <w:szCs w:val="22"/>
                <w:lang w:eastAsia="en-US"/>
              </w:rPr>
            </w:pPr>
            <w:r w:rsidRPr="007A146D">
              <w:rPr>
                <w:rFonts w:cs="Arial"/>
                <w:color w:val="auto"/>
                <w:sz w:val="22"/>
                <w:szCs w:val="22"/>
                <w:lang w:eastAsia="en-US"/>
              </w:rPr>
              <w:t>We have analysed the performance of our school’s disadvantaged pupils during the 2021/22 academic year using key stage 4 performance data and our own internal assessments.</w:t>
            </w:r>
          </w:p>
          <w:p w14:paraId="2654E983" w14:textId="047A4A06" w:rsidR="00AA08C6" w:rsidRPr="007A146D" w:rsidRDefault="00AA08C6" w:rsidP="003911E0">
            <w:pPr>
              <w:autoSpaceDN/>
              <w:spacing w:before="120"/>
              <w:rPr>
                <w:color w:val="auto"/>
                <w:sz w:val="22"/>
                <w:szCs w:val="22"/>
                <w:lang w:eastAsia="en-US"/>
              </w:rPr>
            </w:pPr>
            <w:r w:rsidRPr="007A146D">
              <w:rPr>
                <w:color w:val="auto"/>
                <w:sz w:val="22"/>
                <w:szCs w:val="22"/>
                <w:lang w:eastAsia="en-US"/>
              </w:rPr>
              <w:t>For 2022, the Progress 8 score (which is a measure of</w:t>
            </w:r>
            <w:r w:rsidRPr="007A146D">
              <w:rPr>
                <w:rFonts w:eastAsia="Arial"/>
                <w:color w:val="auto"/>
                <w:sz w:val="22"/>
                <w:szCs w:val="22"/>
                <w:lang w:eastAsia="en-US"/>
              </w:rPr>
              <w:t xml:space="preserve"> </w:t>
            </w:r>
            <w:r w:rsidRPr="007A146D">
              <w:rPr>
                <w:rFonts w:eastAsia="Arial" w:cs="Arial"/>
                <w:color w:val="0B0C0C"/>
                <w:sz w:val="22"/>
                <w:szCs w:val="22"/>
              </w:rPr>
              <w:t>how much progress pupils at this school made across 8 qualifications between the end of KS2 and the end of KS4, compared to other similar pupils nationally</w:t>
            </w:r>
            <w:r w:rsidRPr="007A146D">
              <w:rPr>
                <w:color w:val="auto"/>
                <w:sz w:val="22"/>
                <w:szCs w:val="22"/>
                <w:lang w:eastAsia="en-US"/>
              </w:rPr>
              <w:t xml:space="preserve">) for our disadvantaged pupils was -0.9.  For Attainment 8 (which is a measure of GCSE attainment across 8 subjects) it was 37.64. See </w:t>
            </w:r>
            <w:hyperlink r:id="rId33">
              <w:r w:rsidRPr="007A146D">
                <w:rPr>
                  <w:color w:val="0000FF"/>
                  <w:sz w:val="22"/>
                  <w:szCs w:val="22"/>
                  <w:u w:val="single"/>
                  <w:lang w:eastAsia="en-US"/>
                </w:rPr>
                <w:t>DfE guidance</w:t>
              </w:r>
            </w:hyperlink>
            <w:r w:rsidRPr="007A146D">
              <w:rPr>
                <w:color w:val="auto"/>
                <w:sz w:val="22"/>
                <w:szCs w:val="22"/>
                <w:lang w:eastAsia="en-US"/>
              </w:rPr>
              <w:t xml:space="preserve"> for more information about KS4 performance measures. </w:t>
            </w:r>
          </w:p>
          <w:p w14:paraId="228F1D95" w14:textId="77777777" w:rsidR="00AA08C6" w:rsidRPr="007A146D" w:rsidRDefault="00AA08C6" w:rsidP="003911E0">
            <w:pPr>
              <w:autoSpaceDN/>
              <w:spacing w:before="120"/>
              <w:rPr>
                <w:color w:val="auto"/>
                <w:sz w:val="22"/>
                <w:szCs w:val="22"/>
                <w:lang w:eastAsia="en-US"/>
              </w:rPr>
            </w:pPr>
            <w:r w:rsidRPr="007A146D">
              <w:rPr>
                <w:color w:val="auto"/>
                <w:sz w:val="22"/>
                <w:szCs w:val="22"/>
                <w:lang w:eastAsia="en-US"/>
              </w:rPr>
              <w:t>DfE has strongly discouraged comparison of a school’s 2022 performance data with results in previous years. The impact of CO</w:t>
            </w:r>
            <w:r w:rsidRPr="007A146D">
              <w:rPr>
                <w:sz w:val="22"/>
                <w:szCs w:val="22"/>
                <w:lang w:eastAsia="en-US"/>
              </w:rPr>
              <w:t>VID-19</w:t>
            </w:r>
            <w:r w:rsidRPr="007A146D">
              <w:rPr>
                <w:color w:val="auto"/>
                <w:sz w:val="22"/>
                <w:szCs w:val="22"/>
                <w:lang w:eastAsia="en-US"/>
              </w:rPr>
              <w:t xml:space="preserve"> makes it difficult to interpret why the results are as they are. In addition, changes were made to GCSE and A level exams in 2022, with adaptations such as advance information for pupils and grading that reflected a midway point between grading in 2021 and 2019. </w:t>
            </w:r>
          </w:p>
          <w:p w14:paraId="676EB28C" w14:textId="77777777" w:rsidR="00AA08C6" w:rsidRPr="007A146D" w:rsidRDefault="00AA08C6" w:rsidP="003911E0">
            <w:pPr>
              <w:autoSpaceDN/>
              <w:spacing w:before="120"/>
              <w:rPr>
                <w:color w:val="auto"/>
                <w:sz w:val="22"/>
                <w:szCs w:val="22"/>
                <w:lang w:eastAsia="en-US"/>
              </w:rPr>
            </w:pPr>
            <w:r w:rsidRPr="007A146D">
              <w:rPr>
                <w:color w:val="auto"/>
                <w:sz w:val="22"/>
                <w:szCs w:val="22"/>
                <w:lang w:eastAsia="en-US"/>
              </w:rPr>
              <w:t>We have, however, compared our results to national figures to help gauge the performance of our disadvantaged pupils (although these should be considered with caution given the caveats stated above). The national Attainment 8 score for disadvantaged pupils in 2021/22 was 37.5 and for non-disadvantaged pupils it was 52.6. For Progress 8, the national average score for disadvantaged pupils was –0.55 and for non-disadvantaged pupils it was 0.15.</w:t>
            </w:r>
          </w:p>
          <w:p w14:paraId="1CC48166" w14:textId="109D5EA9" w:rsidR="00AA08C6" w:rsidRPr="007A146D" w:rsidRDefault="00AA08C6" w:rsidP="003911E0">
            <w:pPr>
              <w:autoSpaceDN/>
              <w:spacing w:before="120"/>
              <w:rPr>
                <w:color w:val="auto"/>
                <w:sz w:val="22"/>
                <w:szCs w:val="22"/>
                <w:lang w:eastAsia="en-US"/>
              </w:rPr>
            </w:pPr>
            <w:r w:rsidRPr="007A146D">
              <w:rPr>
                <w:color w:val="auto"/>
                <w:sz w:val="22"/>
                <w:szCs w:val="22"/>
                <w:lang w:eastAsia="en-US"/>
              </w:rPr>
              <w:t xml:space="preserve">Key stage 4 data </w:t>
            </w:r>
            <w:r w:rsidR="007754E9" w:rsidRPr="007A146D">
              <w:rPr>
                <w:color w:val="auto"/>
                <w:sz w:val="22"/>
                <w:szCs w:val="22"/>
                <w:lang w:eastAsia="en-US"/>
              </w:rPr>
              <w:t>indicate</w:t>
            </w:r>
            <w:r w:rsidR="00F81B22">
              <w:rPr>
                <w:color w:val="auto"/>
                <w:sz w:val="22"/>
                <w:szCs w:val="22"/>
                <w:lang w:eastAsia="en-US"/>
              </w:rPr>
              <w:t>s</w:t>
            </w:r>
            <w:r w:rsidRPr="007A146D">
              <w:rPr>
                <w:color w:val="auto"/>
                <w:sz w:val="22"/>
                <w:szCs w:val="22"/>
                <w:lang w:eastAsia="en-US"/>
              </w:rPr>
              <w:t xml:space="preserve"> that, </w:t>
            </w:r>
            <w:r w:rsidR="007754E9" w:rsidRPr="007A146D">
              <w:rPr>
                <w:color w:val="auto"/>
                <w:sz w:val="22"/>
                <w:szCs w:val="22"/>
                <w:lang w:eastAsia="en-US"/>
              </w:rPr>
              <w:t xml:space="preserve">while </w:t>
            </w:r>
            <w:r w:rsidR="007A146D">
              <w:rPr>
                <w:color w:val="auto"/>
                <w:sz w:val="22"/>
                <w:szCs w:val="22"/>
                <w:lang w:eastAsia="en-US"/>
              </w:rPr>
              <w:t>our</w:t>
            </w:r>
            <w:r w:rsidR="007754E9" w:rsidRPr="007A146D">
              <w:rPr>
                <w:color w:val="auto"/>
                <w:sz w:val="22"/>
                <w:szCs w:val="22"/>
                <w:lang w:eastAsia="en-US"/>
              </w:rPr>
              <w:t xml:space="preserve"> Attainment 8 score was stronger than national comparative date, and </w:t>
            </w:r>
            <w:r w:rsidRPr="007A146D">
              <w:rPr>
                <w:color w:val="auto"/>
                <w:sz w:val="22"/>
                <w:szCs w:val="22"/>
                <w:lang w:eastAsia="en-US"/>
              </w:rPr>
              <w:t xml:space="preserve">despite some strong individual performances, the progress of the school’s disadvantaged pupils in 2021/22 was below our expectations. </w:t>
            </w:r>
            <w:r w:rsidR="00F81B22">
              <w:rPr>
                <w:color w:val="auto"/>
                <w:sz w:val="22"/>
                <w:szCs w:val="22"/>
                <w:lang w:eastAsia="en-US"/>
              </w:rPr>
              <w:t>The Year 11 pupil premium cohort was very small,</w:t>
            </w:r>
            <w:r w:rsidR="00B456A4">
              <w:rPr>
                <w:color w:val="auto"/>
                <w:sz w:val="22"/>
                <w:szCs w:val="22"/>
                <w:lang w:eastAsia="en-US"/>
              </w:rPr>
              <w:t xml:space="preserve"> </w:t>
            </w:r>
            <w:r w:rsidR="00F81B22">
              <w:rPr>
                <w:color w:val="auto"/>
                <w:sz w:val="22"/>
                <w:szCs w:val="22"/>
                <w:lang w:eastAsia="en-US"/>
              </w:rPr>
              <w:t xml:space="preserve">so </w:t>
            </w:r>
            <w:r w:rsidR="00B456A4">
              <w:rPr>
                <w:color w:val="auto"/>
                <w:sz w:val="22"/>
                <w:szCs w:val="22"/>
                <w:lang w:eastAsia="en-US"/>
              </w:rPr>
              <w:t xml:space="preserve">minor variations in student performance had a significant effect. Of our 14 pupil premium students, 6 exceeded the national average Attainment 8 score of 37.5, with the highest score being 78.0, representing very strong personal achievement. </w:t>
            </w:r>
          </w:p>
          <w:p w14:paraId="78C06645" w14:textId="5568B756" w:rsidR="007754E9" w:rsidRPr="007A146D" w:rsidRDefault="00AA08C6" w:rsidP="003911E0">
            <w:pPr>
              <w:autoSpaceDN/>
              <w:spacing w:before="120"/>
              <w:rPr>
                <w:color w:val="auto"/>
                <w:sz w:val="22"/>
                <w:szCs w:val="22"/>
                <w:lang w:eastAsia="en-US"/>
              </w:rPr>
            </w:pPr>
            <w:r w:rsidRPr="007A146D">
              <w:rPr>
                <w:color w:val="auto"/>
                <w:sz w:val="22"/>
                <w:szCs w:val="22"/>
                <w:lang w:eastAsia="en-US"/>
              </w:rPr>
              <w:t xml:space="preserve">The gap between the Progress 8 and Attainment 8 scores of our disadvantaged and non-disadvantaged pupils has also grown since the start of the pandemic. </w:t>
            </w:r>
            <w:r w:rsidR="007754E9" w:rsidRPr="007A146D">
              <w:rPr>
                <w:color w:val="auto"/>
                <w:sz w:val="22"/>
                <w:szCs w:val="22"/>
                <w:lang w:eastAsia="en-US"/>
              </w:rPr>
              <w:t>In 2019, t</w:t>
            </w:r>
            <w:r w:rsidRPr="007A146D">
              <w:rPr>
                <w:color w:val="auto"/>
                <w:sz w:val="22"/>
                <w:szCs w:val="22"/>
                <w:lang w:eastAsia="en-US"/>
              </w:rPr>
              <w:t xml:space="preserve">he Progress 8 score of our disadvantaged pupils was </w:t>
            </w:r>
            <w:r w:rsidR="007754E9" w:rsidRPr="007A146D">
              <w:rPr>
                <w:color w:val="auto"/>
                <w:sz w:val="22"/>
                <w:szCs w:val="22"/>
                <w:lang w:eastAsia="en-US"/>
              </w:rPr>
              <w:t>+0.02</w:t>
            </w:r>
            <w:r w:rsidRPr="007A146D">
              <w:rPr>
                <w:color w:val="auto"/>
                <w:sz w:val="22"/>
                <w:szCs w:val="22"/>
                <w:lang w:eastAsia="en-US"/>
              </w:rPr>
              <w:t xml:space="preserve">, and the Attainment 8 score was </w:t>
            </w:r>
            <w:r w:rsidR="007754E9" w:rsidRPr="007A146D">
              <w:rPr>
                <w:color w:val="auto"/>
                <w:sz w:val="22"/>
                <w:szCs w:val="22"/>
                <w:lang w:eastAsia="en-US"/>
              </w:rPr>
              <w:t>44.75</w:t>
            </w:r>
            <w:r w:rsidRPr="007A146D">
              <w:rPr>
                <w:color w:val="auto"/>
                <w:sz w:val="22"/>
                <w:szCs w:val="22"/>
                <w:lang w:eastAsia="en-US"/>
              </w:rPr>
              <w:t>. Our analysis suggests the ongoing impact of CO</w:t>
            </w:r>
            <w:r w:rsidRPr="007A146D">
              <w:rPr>
                <w:sz w:val="22"/>
                <w:szCs w:val="22"/>
                <w:lang w:eastAsia="en-US"/>
              </w:rPr>
              <w:t>VID-19</w:t>
            </w:r>
            <w:r w:rsidR="007754E9" w:rsidRPr="007A146D">
              <w:rPr>
                <w:sz w:val="22"/>
                <w:szCs w:val="22"/>
                <w:lang w:eastAsia="en-US"/>
              </w:rPr>
              <w:t xml:space="preserve"> is a significant factor</w:t>
            </w:r>
            <w:r w:rsidRPr="007A146D">
              <w:rPr>
                <w:color w:val="auto"/>
                <w:sz w:val="22"/>
                <w:szCs w:val="22"/>
                <w:lang w:eastAsia="en-US"/>
              </w:rPr>
              <w:t xml:space="preserve">, and this is reflective of national figures demonstrating the </w:t>
            </w:r>
            <w:r w:rsidR="007754E9" w:rsidRPr="007A146D">
              <w:rPr>
                <w:color w:val="auto"/>
                <w:sz w:val="22"/>
                <w:szCs w:val="22"/>
                <w:lang w:eastAsia="en-US"/>
              </w:rPr>
              <w:t>disproportionate</w:t>
            </w:r>
            <w:r w:rsidRPr="007A146D">
              <w:rPr>
                <w:color w:val="auto"/>
                <w:sz w:val="22"/>
                <w:szCs w:val="22"/>
                <w:lang w:eastAsia="en-US"/>
              </w:rPr>
              <w:t xml:space="preserve"> impact of the pandemic on disadvantaged pupils. </w:t>
            </w:r>
          </w:p>
          <w:p w14:paraId="0B5C1D5B" w14:textId="6813A9DF" w:rsidR="007A146D" w:rsidRPr="00EC7F1F" w:rsidRDefault="00AA08C6" w:rsidP="003911E0">
            <w:pPr>
              <w:autoSpaceDN/>
              <w:spacing w:before="120"/>
              <w:rPr>
                <w:color w:val="auto"/>
                <w:lang w:eastAsia="en-US"/>
              </w:rPr>
            </w:pPr>
            <w:r w:rsidRPr="007A146D">
              <w:rPr>
                <w:color w:val="auto"/>
                <w:sz w:val="22"/>
                <w:szCs w:val="22"/>
                <w:lang w:eastAsia="en-US"/>
              </w:rPr>
              <w:t xml:space="preserve">These results </w:t>
            </w:r>
            <w:r w:rsidR="007A146D" w:rsidRPr="007A146D">
              <w:rPr>
                <w:color w:val="auto"/>
                <w:sz w:val="22"/>
                <w:szCs w:val="22"/>
                <w:lang w:eastAsia="en-US"/>
              </w:rPr>
              <w:t>s</w:t>
            </w:r>
            <w:r w:rsidR="007A146D" w:rsidRPr="007A146D">
              <w:rPr>
                <w:sz w:val="22"/>
                <w:szCs w:val="22"/>
                <w:lang w:eastAsia="en-US"/>
              </w:rPr>
              <w:t>uggest</w:t>
            </w:r>
            <w:r w:rsidRPr="007A146D">
              <w:rPr>
                <w:color w:val="auto"/>
                <w:sz w:val="22"/>
                <w:szCs w:val="22"/>
                <w:lang w:eastAsia="en-US"/>
              </w:rPr>
              <w:t xml:space="preserve"> that we </w:t>
            </w:r>
            <w:r w:rsidR="00F77C20">
              <w:rPr>
                <w:color w:val="auto"/>
                <w:sz w:val="22"/>
                <w:szCs w:val="22"/>
                <w:lang w:eastAsia="en-US"/>
              </w:rPr>
              <w:t xml:space="preserve">have not </w:t>
            </w:r>
            <w:r w:rsidR="00F81B22">
              <w:rPr>
                <w:color w:val="auto"/>
                <w:sz w:val="22"/>
                <w:szCs w:val="22"/>
                <w:lang w:eastAsia="en-US"/>
              </w:rPr>
              <w:t xml:space="preserve">yet </w:t>
            </w:r>
            <w:r w:rsidR="00F77C20">
              <w:rPr>
                <w:color w:val="auto"/>
                <w:sz w:val="22"/>
                <w:szCs w:val="22"/>
                <w:lang w:eastAsia="en-US"/>
              </w:rPr>
              <w:t xml:space="preserve">made the progress we had expected towards the </w:t>
            </w:r>
            <w:r w:rsidRPr="007A146D">
              <w:rPr>
                <w:color w:val="auto"/>
                <w:sz w:val="22"/>
                <w:szCs w:val="22"/>
                <w:lang w:eastAsia="en-US"/>
              </w:rPr>
              <w:t xml:space="preserve">outcomes that we set out to achieve by 2024/25, as stated in the Intended Outcomes section above.  We have </w:t>
            </w:r>
            <w:r w:rsidR="007A146D" w:rsidRPr="007A146D">
              <w:rPr>
                <w:color w:val="auto"/>
                <w:sz w:val="22"/>
                <w:szCs w:val="22"/>
                <w:lang w:eastAsia="en-US"/>
              </w:rPr>
              <w:t>t</w:t>
            </w:r>
            <w:r w:rsidR="007A146D" w:rsidRPr="007A146D">
              <w:rPr>
                <w:sz w:val="22"/>
                <w:szCs w:val="22"/>
                <w:lang w:eastAsia="en-US"/>
              </w:rPr>
              <w:t xml:space="preserve">herefore </w:t>
            </w:r>
            <w:r w:rsidRPr="007A146D">
              <w:rPr>
                <w:color w:val="auto"/>
                <w:sz w:val="22"/>
                <w:szCs w:val="22"/>
                <w:lang w:eastAsia="en-US"/>
              </w:rPr>
              <w:t xml:space="preserve">reviewed </w:t>
            </w:r>
            <w:r w:rsidR="00FC3051">
              <w:rPr>
                <w:color w:val="auto"/>
                <w:sz w:val="22"/>
                <w:szCs w:val="22"/>
                <w:lang w:eastAsia="en-US"/>
              </w:rPr>
              <w:t xml:space="preserve">and adapted </w:t>
            </w:r>
            <w:r w:rsidRPr="007A146D">
              <w:rPr>
                <w:color w:val="auto"/>
                <w:sz w:val="22"/>
                <w:szCs w:val="22"/>
                <w:lang w:eastAsia="en-US"/>
              </w:rPr>
              <w:t>our strategy plan, as set out in the Activity in This Academic Year section above.</w:t>
            </w:r>
            <w:r>
              <w:rPr>
                <w:color w:val="auto"/>
                <w:lang w:eastAsia="en-US"/>
              </w:rPr>
              <w:t xml:space="preserve"> </w:t>
            </w:r>
          </w:p>
        </w:tc>
      </w:tr>
    </w:tbl>
    <w:p w14:paraId="5159442C" w14:textId="77777777" w:rsidR="00250D34" w:rsidRDefault="00250D34" w:rsidP="00250D34">
      <w:pPr>
        <w:pStyle w:val="Heading1"/>
      </w:pPr>
      <w:r>
        <w:t>Further information (optional)</w:t>
      </w:r>
    </w:p>
    <w:tbl>
      <w:tblPr>
        <w:tblW w:w="9486" w:type="dxa"/>
        <w:tblCellMar>
          <w:left w:w="10" w:type="dxa"/>
          <w:right w:w="10" w:type="dxa"/>
        </w:tblCellMar>
        <w:tblLook w:val="04A0" w:firstRow="1" w:lastRow="0" w:firstColumn="1" w:lastColumn="0" w:noHBand="0" w:noVBand="1"/>
      </w:tblPr>
      <w:tblGrid>
        <w:gridCol w:w="9486"/>
      </w:tblGrid>
      <w:tr w:rsidR="00250D34" w14:paraId="67D037D5" w14:textId="77777777" w:rsidTr="00FC3051">
        <w:trPr>
          <w:trHeight w:val="6278"/>
        </w:trPr>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5E3D8" w14:textId="4BFC5687" w:rsidR="00B6285C" w:rsidRDefault="00B6285C" w:rsidP="003911E0">
            <w:pPr>
              <w:autoSpaceDN/>
              <w:spacing w:before="120"/>
              <w:rPr>
                <w:rFonts w:cs="Arial"/>
                <w:iCs/>
                <w:color w:val="auto"/>
                <w:lang w:eastAsia="en-US"/>
              </w:rPr>
            </w:pPr>
            <w:r>
              <w:rPr>
                <w:rFonts w:cs="Arial"/>
                <w:iCs/>
                <w:color w:val="auto"/>
                <w:lang w:eastAsia="en-US"/>
              </w:rPr>
              <w:t xml:space="preserve">In order to evaluate the effectiveness of our pupil premium strategy, we undertook several review activities. </w:t>
            </w:r>
          </w:p>
          <w:p w14:paraId="4882F2F8" w14:textId="79450348" w:rsidR="00B6285C" w:rsidRPr="00F25628" w:rsidRDefault="003642EB" w:rsidP="00F25628">
            <w:pPr>
              <w:pStyle w:val="ListParagraph"/>
              <w:numPr>
                <w:ilvl w:val="0"/>
                <w:numId w:val="22"/>
              </w:numPr>
              <w:autoSpaceDN/>
              <w:spacing w:before="120"/>
              <w:rPr>
                <w:rFonts w:cs="Arial"/>
                <w:iCs/>
                <w:color w:val="auto"/>
                <w:lang w:eastAsia="en-US"/>
              </w:rPr>
            </w:pPr>
            <w:r>
              <w:rPr>
                <w:rFonts w:cs="Arial"/>
                <w:iCs/>
                <w:color w:val="auto"/>
                <w:lang w:eastAsia="en-US"/>
              </w:rPr>
              <w:t xml:space="preserve">The Senior Leadership Team </w:t>
            </w:r>
            <w:r w:rsidR="00B6285C">
              <w:rPr>
                <w:rFonts w:cs="Arial"/>
                <w:iCs/>
                <w:color w:val="auto"/>
                <w:lang w:eastAsia="en-US"/>
              </w:rPr>
              <w:t xml:space="preserve">completed </w:t>
            </w:r>
            <w:r>
              <w:rPr>
                <w:rFonts w:cs="Arial"/>
                <w:iCs/>
                <w:color w:val="auto"/>
                <w:lang w:eastAsia="en-US"/>
              </w:rPr>
              <w:t>an</w:t>
            </w:r>
            <w:r w:rsidR="00F25628">
              <w:rPr>
                <w:rFonts w:cs="Arial"/>
                <w:iCs/>
                <w:color w:val="auto"/>
                <w:lang w:eastAsia="en-US"/>
              </w:rPr>
              <w:t xml:space="preserve"> audit, based on the Reflection Tool in </w:t>
            </w:r>
            <w:r w:rsidR="00F25628" w:rsidRPr="00F25628">
              <w:rPr>
                <w:rFonts w:cs="Arial"/>
                <w:i/>
                <w:color w:val="auto"/>
                <w:lang w:eastAsia="en-US"/>
              </w:rPr>
              <w:t>Addressing Educational Disadvantage</w:t>
            </w:r>
            <w:r w:rsidR="00F25628">
              <w:rPr>
                <w:rFonts w:cs="Arial"/>
                <w:iCs/>
                <w:color w:val="auto"/>
                <w:lang w:eastAsia="en-US"/>
              </w:rPr>
              <w:t xml:space="preserve"> edited by Marc Rowland. </w:t>
            </w:r>
            <w:r w:rsidR="00F25628" w:rsidRPr="00F25628">
              <w:rPr>
                <w:rFonts w:cs="Arial"/>
                <w:iCs/>
                <w:color w:val="auto"/>
                <w:lang w:eastAsia="en-US"/>
              </w:rPr>
              <w:t xml:space="preserve">This audit addressed </w:t>
            </w:r>
            <w:r w:rsidR="00F25628">
              <w:rPr>
                <w:rFonts w:cs="Arial"/>
                <w:iCs/>
                <w:color w:val="auto"/>
                <w:lang w:eastAsia="en-US"/>
              </w:rPr>
              <w:t>the</w:t>
            </w:r>
            <w:r w:rsidR="00F25628" w:rsidRPr="00F25628">
              <w:rPr>
                <w:rFonts w:cs="Arial"/>
                <w:iCs/>
                <w:color w:val="auto"/>
                <w:lang w:eastAsia="en-US"/>
              </w:rPr>
              <w:t xml:space="preserve"> extent </w:t>
            </w:r>
            <w:r w:rsidR="00F25628">
              <w:rPr>
                <w:rFonts w:cs="Arial"/>
                <w:iCs/>
                <w:color w:val="auto"/>
                <w:lang w:eastAsia="en-US"/>
              </w:rPr>
              <w:t xml:space="preserve">to which </w:t>
            </w:r>
            <w:r w:rsidR="00F25628" w:rsidRPr="00F25628">
              <w:rPr>
                <w:rFonts w:cs="Arial"/>
                <w:iCs/>
                <w:color w:val="auto"/>
                <w:lang w:eastAsia="en-US"/>
              </w:rPr>
              <w:t>educational disadvantage is at the heart of the school’s overall mission, goals and whole school strategy, supporting us to create a leadership environment and school climate that is conducive to changing practices across the school.</w:t>
            </w:r>
          </w:p>
          <w:p w14:paraId="2A90501C" w14:textId="679BCD47" w:rsidR="00B6285C" w:rsidRDefault="00B6285C" w:rsidP="00B6285C">
            <w:pPr>
              <w:pStyle w:val="ListParagraph"/>
              <w:numPr>
                <w:ilvl w:val="0"/>
                <w:numId w:val="22"/>
              </w:numPr>
              <w:autoSpaceDN/>
              <w:spacing w:before="120"/>
              <w:rPr>
                <w:rFonts w:cs="Arial"/>
                <w:iCs/>
                <w:color w:val="auto"/>
                <w:lang w:eastAsia="en-US"/>
              </w:rPr>
            </w:pPr>
            <w:r>
              <w:rPr>
                <w:rFonts w:cs="Arial"/>
                <w:iCs/>
                <w:color w:val="auto"/>
                <w:lang w:eastAsia="en-US"/>
              </w:rPr>
              <w:t>We undertook a curriculum review in which Curriculum Leaders identified good practice in their departments. This review was used to shape 2022-23 Department Improvement Plans, with a specific priority devoted to improving outcomes for disadvantaged students.</w:t>
            </w:r>
          </w:p>
          <w:p w14:paraId="5F1EFAD4" w14:textId="78ADB772" w:rsidR="00F25628" w:rsidRDefault="00F25628" w:rsidP="00B6285C">
            <w:pPr>
              <w:pStyle w:val="ListParagraph"/>
              <w:numPr>
                <w:ilvl w:val="0"/>
                <w:numId w:val="22"/>
              </w:numPr>
              <w:autoSpaceDN/>
              <w:spacing w:before="120"/>
              <w:rPr>
                <w:rFonts w:cs="Arial"/>
                <w:iCs/>
                <w:color w:val="auto"/>
                <w:lang w:eastAsia="en-US"/>
              </w:rPr>
            </w:pPr>
            <w:r>
              <w:rPr>
                <w:rFonts w:cs="Arial"/>
                <w:iCs/>
                <w:color w:val="auto"/>
                <w:lang w:eastAsia="en-US"/>
              </w:rPr>
              <w:t>We reviewed staff capacity to meet the needs of disadvantaged students, which led to the appointment of three Pupil Premium Advocates</w:t>
            </w:r>
          </w:p>
          <w:p w14:paraId="40787293" w14:textId="04DB1249" w:rsidR="00EA004A" w:rsidRPr="00FC3051" w:rsidRDefault="00F25628" w:rsidP="00FC3051">
            <w:pPr>
              <w:pStyle w:val="ListParagraph"/>
              <w:numPr>
                <w:ilvl w:val="0"/>
                <w:numId w:val="22"/>
              </w:numPr>
              <w:autoSpaceDN/>
              <w:spacing w:before="120"/>
              <w:rPr>
                <w:rFonts w:cs="Arial"/>
                <w:iCs/>
                <w:color w:val="auto"/>
                <w:lang w:eastAsia="en-US"/>
              </w:rPr>
            </w:pPr>
            <w:r>
              <w:rPr>
                <w:rFonts w:cs="Arial"/>
                <w:iCs/>
                <w:color w:val="auto"/>
                <w:lang w:eastAsia="en-US"/>
              </w:rPr>
              <w:t xml:space="preserve">We analysed the GCSE outcomes of disadvantaged students in Year 11 and created individual case studies, reflecting on their learning journey through Fulford School and identifying ways </w:t>
            </w:r>
            <w:r w:rsidR="00FC3051">
              <w:rPr>
                <w:rFonts w:cs="Arial"/>
                <w:iCs/>
                <w:color w:val="auto"/>
                <w:lang w:eastAsia="en-US"/>
              </w:rPr>
              <w:t>to improve our practice.</w:t>
            </w:r>
          </w:p>
        </w:tc>
      </w:tr>
    </w:tbl>
    <w:p w14:paraId="2BD75B0D" w14:textId="77777777" w:rsidR="00250D34" w:rsidRDefault="00250D34">
      <w:pPr>
        <w:pStyle w:val="Heading2"/>
        <w:spacing w:before="600"/>
      </w:pPr>
    </w:p>
    <w:p w14:paraId="6DEDF910" w14:textId="77777777" w:rsidR="00250D34" w:rsidRDefault="00250D34">
      <w:pPr>
        <w:pStyle w:val="Heading2"/>
        <w:spacing w:before="600"/>
      </w:pPr>
    </w:p>
    <w:p w14:paraId="003D7CCA" w14:textId="77777777" w:rsidR="00250D34" w:rsidRDefault="00250D34">
      <w:pPr>
        <w:pStyle w:val="Heading2"/>
        <w:spacing w:before="600"/>
      </w:pPr>
    </w:p>
    <w:p w14:paraId="7540C883" w14:textId="77777777" w:rsidR="00250D34" w:rsidRDefault="00250D34">
      <w:pPr>
        <w:pStyle w:val="Heading2"/>
        <w:spacing w:before="600"/>
      </w:pPr>
    </w:p>
    <w:p w14:paraId="2A7D5548" w14:textId="51E91112"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38363CCD" w:rsidR="00E66558" w:rsidRDefault="00F81B22">
            <w:pPr>
              <w:pStyle w:val="TableRow"/>
            </w:pPr>
            <w:r>
              <w:t>N/a</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55D50957" w:rsidR="00E66558" w:rsidRDefault="00E66558">
            <w:pPr>
              <w:pStyle w:val="TableRowCentered"/>
              <w:jc w:val="left"/>
            </w:pPr>
          </w:p>
        </w:tc>
      </w:tr>
      <w:bookmarkEnd w:id="15"/>
      <w:bookmarkEnd w:id="16"/>
      <w:bookmarkEnd w:id="17"/>
    </w:tbl>
    <w:p w14:paraId="2A7D5564" w14:textId="77777777" w:rsidR="00E66558" w:rsidRDefault="00E66558"/>
    <w:sectPr w:rsidR="00E66558">
      <w:footerReference w:type="default" r:id="rId3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49AC5" w14:textId="77777777" w:rsidR="004024A1" w:rsidRDefault="004024A1">
      <w:pPr>
        <w:spacing w:after="0" w:line="240" w:lineRule="auto"/>
      </w:pPr>
      <w:r>
        <w:separator/>
      </w:r>
    </w:p>
  </w:endnote>
  <w:endnote w:type="continuationSeparator" w:id="0">
    <w:p w14:paraId="4EBF092A" w14:textId="77777777" w:rsidR="004024A1" w:rsidRDefault="00402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22DD5037" w:rsidR="005E28A4" w:rsidRDefault="009D71E8">
    <w:pPr>
      <w:pStyle w:val="Footer"/>
      <w:ind w:firstLine="4513"/>
    </w:pPr>
    <w:r>
      <w:fldChar w:fldCharType="begin"/>
    </w:r>
    <w:r>
      <w:instrText xml:space="preserve"> PAGE </w:instrText>
    </w:r>
    <w:r>
      <w:fldChar w:fldCharType="separate"/>
    </w:r>
    <w:r w:rsidR="00C96C3B">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A1507" w14:textId="77777777" w:rsidR="004024A1" w:rsidRDefault="004024A1">
      <w:pPr>
        <w:spacing w:after="0" w:line="240" w:lineRule="auto"/>
      </w:pPr>
      <w:r>
        <w:separator/>
      </w:r>
    </w:p>
  </w:footnote>
  <w:footnote w:type="continuationSeparator" w:id="0">
    <w:p w14:paraId="705D715F" w14:textId="77777777" w:rsidR="004024A1" w:rsidRDefault="004024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AAF7267"/>
    <w:multiLevelType w:val="hybridMultilevel"/>
    <w:tmpl w:val="1FC2D26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190131"/>
    <w:multiLevelType w:val="hybridMultilevel"/>
    <w:tmpl w:val="09DA5232"/>
    <w:lvl w:ilvl="0" w:tplc="6A84B408">
      <w:start w:val="5"/>
      <w:numFmt w:val="bullet"/>
      <w:lvlText w:val="-"/>
      <w:lvlJc w:val="left"/>
      <w:pPr>
        <w:ind w:left="417" w:hanging="360"/>
      </w:pPr>
      <w:rPr>
        <w:rFonts w:ascii="Arial" w:eastAsia="Times New Roma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C2C4EA4"/>
    <w:multiLevelType w:val="hybridMultilevel"/>
    <w:tmpl w:val="60644BF0"/>
    <w:lvl w:ilvl="0" w:tplc="6A84B408">
      <w:start w:val="5"/>
      <w:numFmt w:val="bullet"/>
      <w:lvlText w:val="-"/>
      <w:lvlJc w:val="left"/>
      <w:pPr>
        <w:ind w:left="417"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54236E"/>
    <w:multiLevelType w:val="hybridMultilevel"/>
    <w:tmpl w:val="5EFA2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54B61F95"/>
    <w:multiLevelType w:val="hybridMultilevel"/>
    <w:tmpl w:val="593E1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0C81397"/>
    <w:multiLevelType w:val="hybridMultilevel"/>
    <w:tmpl w:val="FA76493E"/>
    <w:lvl w:ilvl="0" w:tplc="5E789F68">
      <w:start w:val="2021"/>
      <w:numFmt w:val="bullet"/>
      <w:lvlText w:val="-"/>
      <w:lvlJc w:val="left"/>
      <w:pPr>
        <w:ind w:left="417" w:hanging="360"/>
      </w:pPr>
      <w:rPr>
        <w:rFonts w:ascii="Arial" w:eastAsia="Times New Roma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4" w15:restartNumberingAfterBreak="0">
    <w:nsid w:val="66A91E88"/>
    <w:multiLevelType w:val="hybridMultilevel"/>
    <w:tmpl w:val="A0BA8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9134D81"/>
    <w:multiLevelType w:val="hybridMultilevel"/>
    <w:tmpl w:val="32F4295A"/>
    <w:lvl w:ilvl="0" w:tplc="5E789F68">
      <w:start w:val="2021"/>
      <w:numFmt w:val="bullet"/>
      <w:lvlText w:val="-"/>
      <w:lvlJc w:val="left"/>
      <w:pPr>
        <w:ind w:left="474" w:hanging="360"/>
      </w:pPr>
      <w:rPr>
        <w:rFonts w:ascii="Arial" w:eastAsia="Times New Roman" w:hAnsi="Arial" w:cs="Aria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7"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8"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9"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2"/>
  </w:num>
  <w:num w:numId="3">
    <w:abstractNumId w:val="6"/>
  </w:num>
  <w:num w:numId="4">
    <w:abstractNumId w:val="9"/>
  </w:num>
  <w:num w:numId="5">
    <w:abstractNumId w:val="0"/>
  </w:num>
  <w:num w:numId="6">
    <w:abstractNumId w:val="10"/>
  </w:num>
  <w:num w:numId="7">
    <w:abstractNumId w:val="15"/>
  </w:num>
  <w:num w:numId="8">
    <w:abstractNumId w:val="20"/>
  </w:num>
  <w:num w:numId="9">
    <w:abstractNumId w:val="18"/>
  </w:num>
  <w:num w:numId="10">
    <w:abstractNumId w:val="17"/>
  </w:num>
  <w:num w:numId="11">
    <w:abstractNumId w:val="4"/>
  </w:num>
  <w:num w:numId="12">
    <w:abstractNumId w:val="19"/>
  </w:num>
  <w:num w:numId="13">
    <w:abstractNumId w:val="12"/>
  </w:num>
  <w:num w:numId="14">
    <w:abstractNumId w:val="8"/>
  </w:num>
  <w:num w:numId="15">
    <w:abstractNumId w:val="12"/>
  </w:num>
  <w:num w:numId="16">
    <w:abstractNumId w:val="13"/>
  </w:num>
  <w:num w:numId="17">
    <w:abstractNumId w:val="16"/>
  </w:num>
  <w:num w:numId="18">
    <w:abstractNumId w:val="1"/>
  </w:num>
  <w:num w:numId="19">
    <w:abstractNumId w:val="11"/>
  </w:num>
  <w:num w:numId="20">
    <w:abstractNumId w:val="3"/>
  </w:num>
  <w:num w:numId="21">
    <w:abstractNumId w:val="1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2C2E"/>
    <w:rsid w:val="000452E7"/>
    <w:rsid w:val="000461A4"/>
    <w:rsid w:val="00056894"/>
    <w:rsid w:val="00063976"/>
    <w:rsid w:val="00066B73"/>
    <w:rsid w:val="000671E9"/>
    <w:rsid w:val="000B16E1"/>
    <w:rsid w:val="000B52BE"/>
    <w:rsid w:val="00107523"/>
    <w:rsid w:val="00120AB1"/>
    <w:rsid w:val="00135325"/>
    <w:rsid w:val="001A32EC"/>
    <w:rsid w:val="001B2B17"/>
    <w:rsid w:val="001C6AB4"/>
    <w:rsid w:val="00232385"/>
    <w:rsid w:val="00235096"/>
    <w:rsid w:val="00250D34"/>
    <w:rsid w:val="002E09C3"/>
    <w:rsid w:val="003035BE"/>
    <w:rsid w:val="00323A8C"/>
    <w:rsid w:val="00332E9B"/>
    <w:rsid w:val="00352362"/>
    <w:rsid w:val="003642EB"/>
    <w:rsid w:val="00394B7E"/>
    <w:rsid w:val="00397403"/>
    <w:rsid w:val="003D3575"/>
    <w:rsid w:val="003E1495"/>
    <w:rsid w:val="004024A1"/>
    <w:rsid w:val="004044AA"/>
    <w:rsid w:val="00405A98"/>
    <w:rsid w:val="004203AC"/>
    <w:rsid w:val="00421089"/>
    <w:rsid w:val="0044051E"/>
    <w:rsid w:val="00450FAD"/>
    <w:rsid w:val="00474AAF"/>
    <w:rsid w:val="004A15DB"/>
    <w:rsid w:val="004B31AC"/>
    <w:rsid w:val="004C0ECD"/>
    <w:rsid w:val="004E4C94"/>
    <w:rsid w:val="00517E50"/>
    <w:rsid w:val="0052016D"/>
    <w:rsid w:val="005872EF"/>
    <w:rsid w:val="005A770D"/>
    <w:rsid w:val="005B135D"/>
    <w:rsid w:val="005C16E3"/>
    <w:rsid w:val="005E294A"/>
    <w:rsid w:val="005E2F32"/>
    <w:rsid w:val="005E3C92"/>
    <w:rsid w:val="005E4259"/>
    <w:rsid w:val="005F2C10"/>
    <w:rsid w:val="005F5153"/>
    <w:rsid w:val="00614F25"/>
    <w:rsid w:val="006654A9"/>
    <w:rsid w:val="00676080"/>
    <w:rsid w:val="00681975"/>
    <w:rsid w:val="006A0816"/>
    <w:rsid w:val="006C63FA"/>
    <w:rsid w:val="006E03B6"/>
    <w:rsid w:val="006E7FB1"/>
    <w:rsid w:val="00732230"/>
    <w:rsid w:val="00741B9E"/>
    <w:rsid w:val="00743489"/>
    <w:rsid w:val="00754C6D"/>
    <w:rsid w:val="00770D98"/>
    <w:rsid w:val="007754E9"/>
    <w:rsid w:val="0079004C"/>
    <w:rsid w:val="007A146D"/>
    <w:rsid w:val="007C2F04"/>
    <w:rsid w:val="007C5920"/>
    <w:rsid w:val="00807FB6"/>
    <w:rsid w:val="00845F3E"/>
    <w:rsid w:val="00862C65"/>
    <w:rsid w:val="00870602"/>
    <w:rsid w:val="00881B8B"/>
    <w:rsid w:val="008826AA"/>
    <w:rsid w:val="008868FF"/>
    <w:rsid w:val="0089357E"/>
    <w:rsid w:val="0091344A"/>
    <w:rsid w:val="00913DF9"/>
    <w:rsid w:val="00964BFB"/>
    <w:rsid w:val="00966881"/>
    <w:rsid w:val="00995A01"/>
    <w:rsid w:val="009A2753"/>
    <w:rsid w:val="009B4D52"/>
    <w:rsid w:val="009C4BB8"/>
    <w:rsid w:val="009D71E8"/>
    <w:rsid w:val="009D729D"/>
    <w:rsid w:val="009E6F48"/>
    <w:rsid w:val="00A0732A"/>
    <w:rsid w:val="00A22E48"/>
    <w:rsid w:val="00A62405"/>
    <w:rsid w:val="00A85B48"/>
    <w:rsid w:val="00AA08C6"/>
    <w:rsid w:val="00AA64E2"/>
    <w:rsid w:val="00AC06E0"/>
    <w:rsid w:val="00AD012C"/>
    <w:rsid w:val="00AE0FDF"/>
    <w:rsid w:val="00AF1F0F"/>
    <w:rsid w:val="00B456A4"/>
    <w:rsid w:val="00B6285C"/>
    <w:rsid w:val="00BB125E"/>
    <w:rsid w:val="00C1224B"/>
    <w:rsid w:val="00C164AF"/>
    <w:rsid w:val="00C304DD"/>
    <w:rsid w:val="00C80B74"/>
    <w:rsid w:val="00C96C3B"/>
    <w:rsid w:val="00CB2CA2"/>
    <w:rsid w:val="00CB338E"/>
    <w:rsid w:val="00CB5BA0"/>
    <w:rsid w:val="00CB7A36"/>
    <w:rsid w:val="00CC0B91"/>
    <w:rsid w:val="00CD168C"/>
    <w:rsid w:val="00CF03F8"/>
    <w:rsid w:val="00D07F20"/>
    <w:rsid w:val="00D13144"/>
    <w:rsid w:val="00D23145"/>
    <w:rsid w:val="00D33FE5"/>
    <w:rsid w:val="00D56975"/>
    <w:rsid w:val="00D605FB"/>
    <w:rsid w:val="00D80330"/>
    <w:rsid w:val="00DA6EEB"/>
    <w:rsid w:val="00DA7718"/>
    <w:rsid w:val="00DA783B"/>
    <w:rsid w:val="00DC5749"/>
    <w:rsid w:val="00DE0595"/>
    <w:rsid w:val="00DF7A20"/>
    <w:rsid w:val="00E06BB5"/>
    <w:rsid w:val="00E34CD9"/>
    <w:rsid w:val="00E56CC6"/>
    <w:rsid w:val="00E66558"/>
    <w:rsid w:val="00E83E0A"/>
    <w:rsid w:val="00EA004A"/>
    <w:rsid w:val="00EC362B"/>
    <w:rsid w:val="00EC7A1B"/>
    <w:rsid w:val="00EE72D1"/>
    <w:rsid w:val="00F06036"/>
    <w:rsid w:val="00F25628"/>
    <w:rsid w:val="00F43A79"/>
    <w:rsid w:val="00F64FB8"/>
    <w:rsid w:val="00F70BAC"/>
    <w:rsid w:val="00F77C20"/>
    <w:rsid w:val="00F81B22"/>
    <w:rsid w:val="00F86E83"/>
    <w:rsid w:val="00F94622"/>
    <w:rsid w:val="00FA14AB"/>
    <w:rsid w:val="00FB11DC"/>
    <w:rsid w:val="00FB75B3"/>
    <w:rsid w:val="00FC3051"/>
    <w:rsid w:val="00FE6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966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CB338E"/>
    <w:rPr>
      <w:color w:val="605E5C"/>
      <w:shd w:val="clear" w:color="auto" w:fill="E1DFDD"/>
    </w:rPr>
  </w:style>
  <w:style w:type="character" w:customStyle="1" w:styleId="normaltextrun">
    <w:name w:val="normaltextrun"/>
    <w:basedOn w:val="DefaultParagraphFont"/>
    <w:rsid w:val="00AA08C6"/>
  </w:style>
  <w:style w:type="character" w:styleId="UnresolvedMention">
    <w:name w:val="Unresolved Mention"/>
    <w:basedOn w:val="DefaultParagraphFont"/>
    <w:uiPriority w:val="99"/>
    <w:semiHidden/>
    <w:unhideWhenUsed/>
    <w:rsid w:val="005F5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79821">
      <w:bodyDiv w:val="1"/>
      <w:marLeft w:val="0"/>
      <w:marRight w:val="0"/>
      <w:marTop w:val="0"/>
      <w:marBottom w:val="0"/>
      <w:divBdr>
        <w:top w:val="none" w:sz="0" w:space="0" w:color="auto"/>
        <w:left w:val="none" w:sz="0" w:space="0" w:color="auto"/>
        <w:bottom w:val="none" w:sz="0" w:space="0" w:color="auto"/>
        <w:right w:val="none" w:sz="0" w:space="0" w:color="auto"/>
      </w:divBdr>
    </w:div>
    <w:div w:id="902643329">
      <w:bodyDiv w:val="1"/>
      <w:marLeft w:val="0"/>
      <w:marRight w:val="0"/>
      <w:marTop w:val="0"/>
      <w:marBottom w:val="0"/>
      <w:divBdr>
        <w:top w:val="none" w:sz="0" w:space="0" w:color="auto"/>
        <w:left w:val="none" w:sz="0" w:space="0" w:color="auto"/>
        <w:bottom w:val="none" w:sz="0" w:space="0" w:color="auto"/>
        <w:right w:val="none" w:sz="0" w:space="0" w:color="auto"/>
      </w:divBdr>
    </w:div>
    <w:div w:id="1052074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English%20as%20an%20additional%20language%20(EAL)%20|%20EEF%20(educationendowmentfoundation.org.uk)" TargetMode="External"/><Relationship Id="rId18" Type="http://schemas.openxmlformats.org/officeDocument/2006/relationships/hyperlink" Target="https://educationendowmentfoundation.org.uk/education-evidence/evidence-reviews/literacy-development" TargetMode="External"/><Relationship Id="rId26" Type="http://schemas.openxmlformats.org/officeDocument/2006/relationships/hyperlink" Target="https://assets.publishing.service.gov.uk/government/uploads/system/uploads/attachment_data/file/755135/Mental_health_and_behaviour_in_schools__.pdf" TargetMode="External"/><Relationship Id="rId3" Type="http://schemas.openxmlformats.org/officeDocument/2006/relationships/settings" Target="settings.xml"/><Relationship Id="rId21" Type="http://schemas.openxmlformats.org/officeDocument/2006/relationships/hyperlink" Target="https://educationendowmentfoundation.org.uk/education-evidence/teaching-learning-toolkit/one-to-one-tuition" TargetMode="External"/><Relationship Id="rId34" Type="http://schemas.openxmlformats.org/officeDocument/2006/relationships/footer" Target="footer1.xml"/><Relationship Id="rId7" Type="http://schemas.openxmlformats.org/officeDocument/2006/relationships/hyperlink" Target="https://educationendowmentfoundation.org.uk/education-evidence/teaching-learning-toolkit/reading-comprehension-strategies" TargetMode="External"/><Relationship Id="rId12" Type="http://schemas.openxmlformats.org/officeDocument/2006/relationships/hyperlink" Target="https://www.bell-foundation.org.uk/eal-programme/research/english-as-an-additional-language-proficiency-in-english-and-pupils-educational-achievement-an-analysis-of-local-authority-data/" TargetMode="External"/><Relationship Id="rId17" Type="http://schemas.openxmlformats.org/officeDocument/2006/relationships/hyperlink" Target="https://educationendowmentfoundation.org.uk/education-evidence/teaching-learning-toolkit/phonics" TargetMode="External"/><Relationship Id="rId25" Type="http://schemas.openxmlformats.org/officeDocument/2006/relationships/hyperlink" Target="https://educationendowmentfoundation.org.uk/education-evidence/teaching-learning-toolkit/parental-engagement" TargetMode="External"/><Relationship Id="rId33" Type="http://schemas.openxmlformats.org/officeDocument/2006/relationships/hyperlink" Target="https://www.gov.uk/government/publications/progress-8-school-performance-measure" TargetMode="External"/><Relationship Id="rId2" Type="http://schemas.openxmlformats.org/officeDocument/2006/relationships/styles" Target="styles.xml"/><Relationship Id="rId16" Type="http://schemas.openxmlformats.org/officeDocument/2006/relationships/hyperlink" Target="https://educationendowmentfoundation.org.uk/evidence-summaries/teaching-learning-toolkit/reading-comprehension-strategies/" TargetMode="External"/><Relationship Id="rId20" Type="http://schemas.openxmlformats.org/officeDocument/2006/relationships/hyperlink" Target="https://educationendowmentfoundation.org.uk/education-evidence/teaching-learning-toolkit/peer-tutoring" TargetMode="External"/><Relationship Id="rId29" Type="http://schemas.openxmlformats.org/officeDocument/2006/relationships/hyperlink" Target="https://educationendowmentfoundation.org.uk/education-evidence/teaching-learning-toolkit/arts-particip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up.com.cn/test/word-gap.pdf" TargetMode="External"/><Relationship Id="rId24" Type="http://schemas.openxmlformats.org/officeDocument/2006/relationships/hyperlink" Target="https://educationendowmentfoundation.org.uk/education-evidence/teaching-learning-toolkit/social-and-emotional-learning" TargetMode="External"/><Relationship Id="rId32" Type="http://schemas.openxmlformats.org/officeDocument/2006/relationships/hyperlink" Target="https://educationendowmentfoundation.org.uk/education-evidence/teaching-learning-toolkit/parental-engagement" TargetMode="External"/><Relationship Id="rId5" Type="http://schemas.openxmlformats.org/officeDocument/2006/relationships/footnotes" Target="footnotes.xml"/><Relationship Id="rId15" Type="http://schemas.openxmlformats.org/officeDocument/2006/relationships/hyperlink" Target="https://educationendowmentfoundation.org.uk/education-evidence/teaching-learning-toolkit/homework" TargetMode="External"/><Relationship Id="rId23" Type="http://schemas.openxmlformats.org/officeDocument/2006/relationships/hyperlink" Target="https://educationendowmentfoundation.org.uk/evidence-summaries/teaching-learning-toolkit/small-group-tuition/" TargetMode="External"/><Relationship Id="rId28" Type="http://schemas.openxmlformats.org/officeDocument/2006/relationships/hyperlink" Target="https://educationendowmentfoundation.org.uk/education-evidence/teaching-learning-toolkit/aspiration-interventions" TargetMode="External"/><Relationship Id="rId36" Type="http://schemas.openxmlformats.org/officeDocument/2006/relationships/theme" Target="theme/theme1.xml"/><Relationship Id="rId10" Type="http://schemas.openxmlformats.org/officeDocument/2006/relationships/hyperlink" Target="https://assets.publishing.service.gov.uk/government/uploads/system/uploads/attachment_data/file/284286/reading_for_pleasure.pdf" TargetMode="External"/><Relationship Id="rId19" Type="http://schemas.openxmlformats.org/officeDocument/2006/relationships/hyperlink" Target="https://educationendowmentfoundation.org.uk/education-evidence/evidence-reviews/reading-at-the-transition" TargetMode="External"/><Relationship Id="rId31" Type="http://schemas.openxmlformats.org/officeDocument/2006/relationships/hyperlink" Target="https://educationendowmentfoundation.org.uk/education-evidence/teaching-learning-toolkit/physical-activity" TargetMode="External"/><Relationship Id="rId4" Type="http://schemas.openxmlformats.org/officeDocument/2006/relationships/webSettings" Target="webSettings.xml"/><Relationship Id="rId9" Type="http://schemas.openxmlformats.org/officeDocument/2006/relationships/hyperlink" Target="https://www.ncbi.nlm.nih.gov/pmc/articles/PMC4682347/" TargetMode="External"/><Relationship Id="rId14" Type="http://schemas.openxmlformats.org/officeDocument/2006/relationships/hyperlink" Target="https://educationendowmentfoundation.org.uk/education-evidence/teaching-learning-toolkit/behaviour-interventions" TargetMode="External"/><Relationship Id="rId22" Type="http://schemas.openxmlformats.org/officeDocument/2006/relationships/hyperlink" Target="https://educationendowmentfoundation.org.uk/education-evidence/teaching-learning-toolkit/one-to-one-tuition" TargetMode="External"/><Relationship Id="rId27" Type="http://schemas.openxmlformats.org/officeDocument/2006/relationships/hyperlink" Target="https://educationendowmentfoundation.org.uk/education-evidence/teaching-learning-toolkit/mentoring" TargetMode="External"/><Relationship Id="rId30" Type="http://schemas.openxmlformats.org/officeDocument/2006/relationships/hyperlink" Target="https://educationendowmentfoundation.org.uk/education-evidence/teaching-learning-toolkit/outdoor-adventure-learning" TargetMode="External"/><Relationship Id="rId35" Type="http://schemas.openxmlformats.org/officeDocument/2006/relationships/fontTable" Target="fontTable.xml"/><Relationship Id="rId8" Type="http://schemas.openxmlformats.org/officeDocument/2006/relationships/hyperlink" Target="https://educationendowmentfoundation.org.uk/education-evidence/guidance-reports/metacogn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3741</Words>
  <Characters>21324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Baroni, Mrs. R</cp:lastModifiedBy>
  <cp:revision>16</cp:revision>
  <cp:lastPrinted>2021-12-16T11:36:00Z</cp:lastPrinted>
  <dcterms:created xsi:type="dcterms:W3CDTF">2022-12-11T19:34:00Z</dcterms:created>
  <dcterms:modified xsi:type="dcterms:W3CDTF">2022-12-16T12:14:00Z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